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vertAlign w:val="baseline"/>
          <w:rtl w:val="0"/>
        </w:rPr>
        <w:t xml:space="preserve">CRITERIOS DE EVALUACIÓN, DE PROMOCIÓN Y DE TITULACIÓN. HERRAMIENTAS/INSTRUMENTOS DE EVALUACIÓN. CURSO 202</w:t>
      </w: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vertAlign w:val="baseline"/>
          <w:rtl w:val="0"/>
        </w:rPr>
        <w:t xml:space="preserve">-2</w:t>
      </w: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7275"/>
        <w:tblGridChange w:id="0">
          <w:tblGrid>
            <w:gridCol w:w="2940"/>
            <w:gridCol w:w="7275"/>
          </w:tblGrid>
        </w:tblGridChange>
      </w:tblGrid>
      <w:tr>
        <w:trPr>
          <w:cantSplit w:val="1"/>
          <w:trHeight w:val="270" w:hRule="atLeast"/>
          <w:tblHeader w:val="1"/>
        </w:trPr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6">
            <w:pPr>
              <w:ind w:left="1" w:hanging="3"/>
              <w:rPr>
                <w:rFonts w:ascii="Calibri" w:cs="Calibri" w:eastAsia="Calibri" w:hAnsi="Calibri"/>
                <w:sz w:val="28"/>
                <w:szCs w:val="28"/>
                <w:shd w:fill="9900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DEPARTAMENTO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Geografía, Historia y Economía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1"/>
        </w:trPr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CURSO/MODALIDAD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1º de bachillerato, Ciencias Sociales y Humanidades</w:t>
            </w:r>
          </w:p>
        </w:tc>
      </w:tr>
    </w:tbl>
    <w:p w:rsidR="00000000" w:rsidDel="00000000" w:rsidP="00000000" w:rsidRDefault="00000000" w:rsidRPr="00000000" w14:paraId="0000000A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-5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1"/>
          <w:tblHeader w:val="1"/>
        </w:trPr>
        <w:tc>
          <w:tcPr>
            <w:shd w:fill="b4a7d6" w:val="clear"/>
          </w:tcPr>
          <w:p w:rsidR="00000000" w:rsidDel="00000000" w:rsidP="00000000" w:rsidRDefault="00000000" w:rsidRPr="00000000" w14:paraId="000000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MATERIA</w:t>
            </w:r>
          </w:p>
        </w:tc>
      </w:tr>
      <w:tr>
        <w:trPr>
          <w:cantSplit w:val="1"/>
          <w:trHeight w:val="552.109375" w:hRule="atLeast"/>
          <w:tblHeader w:val="1"/>
        </w:trPr>
        <w:tc>
          <w:tcPr/>
          <w:p w:rsidR="00000000" w:rsidDel="00000000" w:rsidP="00000000" w:rsidRDefault="00000000" w:rsidRPr="00000000" w14:paraId="0000000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Economía y emprendimiento.</w:t>
            </w:r>
          </w:p>
          <w:p w:rsidR="00000000" w:rsidDel="00000000" w:rsidP="00000000" w:rsidRDefault="00000000" w:rsidRPr="00000000" w14:paraId="0000000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shd w:fill="b4a7d6" w:val="clear"/>
          </w:tcPr>
          <w:p w:rsidR="00000000" w:rsidDel="00000000" w:rsidP="00000000" w:rsidRDefault="00000000" w:rsidRPr="00000000" w14:paraId="0000000F">
            <w:pPr>
              <w:ind w:left="1" w:hanging="3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PROFESORADO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1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Rocío Jiménez Ruiz</w:t>
            </w:r>
          </w:p>
        </w:tc>
      </w:tr>
    </w:tbl>
    <w:p w:rsidR="00000000" w:rsidDel="00000000" w:rsidP="00000000" w:rsidRDefault="00000000" w:rsidRPr="00000000" w14:paraId="00000012">
      <w:pPr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tcBorders>
              <w:bottom w:color="000000" w:space="0" w:sz="4" w:val="single"/>
            </w:tcBorders>
            <w:shd w:fill="b4a7d6" w:val="clea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i8tfz88n9kte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Criterios de evaluación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1.1. Adaptarse a entornos complejos y crear un proyecto personal original y generador de valor, partiendo de la valoración crítica sobre las propias aptitudes y las posibilidades creativas, haciendo hincapié en las fortalezas y debilidades y logrando progresivamente el control consciente de las emociones.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1.2. Utilizar estrategias de análisis razonado de las fortalezas y debilidades personales y de la iniciativa y creatividad propia y de los demás.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1.3. Gestionar de forma eficaz las emociones y destrezas personales, promoviendo y desarrollando actitudes creativas.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2.1. Constituir equipos de trabajo basados en principios de equidad, coeducación e igualdad entre hombres y mujeres, actitud participativa y visualización de metas comunes, utilizando estrategias que faciliten la identificación y optimización de los recursos humanos necesarios que conduzcan a la consecución del reto propuesto.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2.2. Poner en práctica habilidades sociales, de comunicación abierta, motivación, liderazgo y de cooperación e innovación ágil tanto de manera presencial como a distancia en distintos contextos de trabajo en equipo.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2.3. Valorar y respetar las aportaciones de los demás en las distintas dinámicas de trabajo y fases del proceso llevado a cabo, respetando las decisiones tomadas de forma colectiva.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.1. Preservar y cuidar el entorno natural, social, cultural y artístico a partir de propuestas y actuaciones locales y globales que promuevan el desarrollo sostenible, con visión creativa, emprendedora y comprometida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3.2. Superar los retos propuestos a partir de ideas y soluciones innovadoras y sostenibles, evaluando sus ventajas e inconvenientes, así como, el impacto que pudieran generar a nivel personal y en el entorno, teniendo en cuenta la realidad económica de Andalucía.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3.3. Aplicar metodologías ágiles siguiendo los criterios y pautas establecidos en el proceso de construcción de ideas creativas y sostenibles que faciliten la superación de los retos planteados y la obtención de soluciones a las necesidades detectadas con sentido ético y solidario.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4.1. Poner en marcha un proyecto viable que lleve a la realidad una solución emprendedora, seleccionando y reuniendo los recursos materiales, inmateriales y digitales disponibles en el proceso de ideación creativa.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4.2. Utilizar con autonomía estrategias de captación y gestión de recursos conociendo sus características y aplicándolas al proceso de conversión de las ideas y soluciones en acciones.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4.3. Reunir, analizar y seleccionar con criterios propios los recursos disponibles, planificando con coherencia su organización, distribución, uso y optimización.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5.1. Validar las ideas y soluciones presentadas mediante mensajes convincentes y adecuados al contexto y objetivos concretos, utilizando estrategias comunicativas ágiles adaptadas a cada situación comunicativa.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5.2. Presentar y exponer, con claridad y coherencia, las ideas y soluciones creativas, valorando la importancia de mantener una comunicación eficaz y respetuosa a lo largo de todo el proceso llevado a cabo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.6.1. Desarrollar una idea o solución emprendedora a partir de los conocimientos, destrezas y actitudes adquiridos desde el ámbito de la economía y las finanzas, viendo la relación entre estos y los recursos necesarios y disponibles que permitieran su desarrollo. 6.2. Conocer y comprender con precisión los conocimientos, destrezas y actitudes necesarios del ámbito económico y financiero, aplicándolos con coherencia a situaciones, actividades o proyectos concretos.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6.3. Afrontar los retos de manera eficaz, equitativa y sostenible, en distintos contextos y situaciones, reales o simuladas, transfiriendo los saberes económicos y financieros necesarios, para aplicarlos en el contexto andaluz.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6.4. Valorar críticamente el problema económico de la escasez de recursos y la necesidad de elegir, conocer la realidad económica andaluza y los principios de interacción social desde el punto de vista económico, aprovechando este conocimiento en el afrontamiento eficaz de retos.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7.1. Valorar la contribución del prototipo final, tanto para el aprendizaje como para el desarrollo personal y colectivo, evaluando de manera crítica y ética todas las fases del proceso llevado a cabo, así como la adecuación de las estrategias empleadas en la construcción del mismo.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7.2. Analizar de manera crítica el proceso de diseño y ejecución llevado a cabo en la realización de los prototipos creados, estableciendo comparaciones entre la efectividad, viabilidad y adecuación lograda en los procesos y los resultados obtenidos.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7.3. Utilizar estrategias eficaces de diseño y ejecución seleccionando aquellas que faciliten la construcción del prototipo final de manera ágil, cooperativa y autónoma.</w:t>
      </w:r>
    </w:p>
    <w:p w:rsidR="00000000" w:rsidDel="00000000" w:rsidP="00000000" w:rsidRDefault="00000000" w:rsidRPr="00000000" w14:paraId="0000002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75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tcBorders>
              <w:bottom w:color="000000" w:space="0" w:sz="4" w:val="single"/>
            </w:tcBorders>
            <w:shd w:fill="b4a7d6" w:val="clear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qbbjs2erf22c" w:id="1"/>
            <w:bookmarkEnd w:id="1"/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b4a7d6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b4a7d6" w:val="clear"/>
                <w:vertAlign w:val="baseline"/>
                <w:rtl w:val="0"/>
              </w:rPr>
              <w:t xml:space="preserve">. Criterios de promoción y titulación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.9999999999999998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67f8fqm9b1p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seguirá lo establecido en la normativa y en el Proyecto Educativo del IES Juan de Aréjula: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PROYECTO EDUCATIVO IES JUAN DE ARÉJULA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ind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0"/>
        <w:rPr>
          <w:rFonts w:ascii="Calibri" w:cs="Calibri" w:eastAsia="Calibri" w:hAnsi="Calibri"/>
          <w:sz w:val="28"/>
          <w:szCs w:val="28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PLAN DE CENTRO 2023.pdf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ESO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4">
      <w:pPr>
        <w:spacing w:line="276" w:lineRule="auto"/>
        <w:ind w:firstLine="0"/>
        <w:jc w:val="both"/>
        <w:rPr>
          <w:sz w:val="20"/>
          <w:szCs w:val="20"/>
        </w:rPr>
      </w:pPr>
      <w:hyperlink r:id="rId8">
        <w:r w:rsidDel="00000000" w:rsidR="00000000" w:rsidRPr="00000000">
          <w:rPr>
            <w:color w:val="28ab00"/>
            <w:sz w:val="22"/>
            <w:szCs w:val="22"/>
            <w:rtl w:val="0"/>
          </w:rPr>
          <w:t xml:space="preserve">ORDEN de 30 de mayo de 2023</w:t>
        </w:r>
      </w:hyperlink>
      <w:r w:rsidDel="00000000" w:rsidR="00000000" w:rsidRPr="00000000">
        <w:rPr>
          <w:color w:val="666666"/>
          <w:sz w:val="22"/>
          <w:szCs w:val="22"/>
          <w:shd w:fill="f9faf9" w:val="clear"/>
          <w:rtl w:val="0"/>
        </w:rPr>
        <w:t xml:space="preserve">, por la que se desarrolla el currículo correspondiente a la etapa de Educación Secundaria Obligatoria en la Comunidad Autónoma de Andalucía, se regulan determinados aspectos de la atención a la diversidad y a las diferencias individuales, se establece la ordenación de la evaluación del proceso de aprendizaje del alumnado y se determina el proceso de tránsito entre las diferentes etapas educativas (BOJA 02-06-2023)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26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26"/>
        <w:tblGridChange w:id="0">
          <w:tblGrid>
            <w:gridCol w:w="10326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tcBorders>
              <w:bottom w:color="000000" w:space="0" w:sz="4" w:val="single"/>
            </w:tcBorders>
            <w:shd w:fill="b4a7d6" w:val="clear"/>
          </w:tcPr>
          <w:p w:rsidR="00000000" w:rsidDel="00000000" w:rsidP="00000000" w:rsidRDefault="00000000" w:rsidRPr="00000000" w14:paraId="00000038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shd w:fill="b4a7d6" w:val="clear"/>
                <w:rtl w:val="0"/>
              </w:rPr>
              <w:t xml:space="preserve">3. Herramientas / Instrumentos de evaluación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OBSERVACIÓN DIRECTA Y SISTEMÁTICA.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PORTFOLIO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PRUEBAS OBJETIVAS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. Exámenes, problemas con nota y pruebas test con nota.</w:t>
      </w:r>
    </w:p>
    <w:p w:rsidR="00000000" w:rsidDel="00000000" w:rsidP="00000000" w:rsidRDefault="00000000" w:rsidRPr="00000000" w14:paraId="0000003D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TRABAJOS/ PRODUCTOS FINALES.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 Investigación, grabación de podcast y videos, infografías.</w:t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Calibri" w:cs="Calibri" w:eastAsia="Calibri" w:hAnsi="Calibri"/>
          <w:b w:val="1"/>
          <w:i w:val="1"/>
          <w:sz w:val="20"/>
          <w:szCs w:val="20"/>
          <w:u w:val="single"/>
        </w:rPr>
      </w:pPr>
      <w:bookmarkStart w:colFirst="0" w:colLast="0" w:name="_heading=h.vjy6i1o9cda0" w:id="3"/>
      <w:bookmarkEnd w:id="3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077" w:top="1077" w:left="1077" w:right="1106" w:header="709" w:footer="1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  <w:font w:name="Calibri"/>
  <w:font w:name="Verdana"/>
  <w:font w:name="Eras Medium IT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Eras Medium ITC" w:cs="Eras Medium ITC" w:eastAsia="Eras Medium ITC" w:hAnsi="Eras Medium ITC"/>
        <w:color w:val="5f497a"/>
      </w:rPr>
    </w:pPr>
    <w:r w:rsidDel="00000000" w:rsidR="00000000" w:rsidRPr="00000000">
      <w:rPr>
        <w:rtl w:val="0"/>
      </w:rPr>
    </w:r>
  </w:p>
  <w:tbl>
    <w:tblPr>
      <w:tblStyle w:val="Table7"/>
      <w:tblW w:w="9860.0" w:type="dxa"/>
      <w:jc w:val="left"/>
      <w:tblInd w:w="-14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9860"/>
      <w:tblGridChange w:id="0">
        <w:tblGrid>
          <w:gridCol w:w="9860"/>
        </w:tblGrid>
      </w:tblGridChange>
    </w:tblGrid>
    <w:tr>
      <w:trPr>
        <w:cantSplit w:val="1"/>
        <w:tblHeader w:val="1"/>
      </w:trPr>
      <w:tc>
        <w:tcPr/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Destino del documento: Página web </w:t>
          </w:r>
        </w:p>
      </w:tc>
    </w:tr>
  </w:tbl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6173795" cy="6985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3795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rFonts w:ascii="Courier New" w:cs="Courier New" w:eastAsia="Courier New" w:hAnsi="Courier New"/>
        <w:b w:val="1"/>
        <w:color w:val="674ea7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m03dlWlAhADo37_MRs64vvxXKWc7JZTa/view" TargetMode="External"/><Relationship Id="rId8" Type="http://schemas.openxmlformats.org/officeDocument/2006/relationships/hyperlink" Target="https://www.adideandalucia.es/normas/ordenes/Orden30mayo2023EducacionSecundariaObligatoria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8RCPDKx/ppkNq4hF6A5LIT/Ng==">CgMxLjAyDmguaTh0Zno4OG45a3RlMg5oLnFiYmpzMmVyZjIyYzIOaC4xNjdmOGZxbTliMXAyDmgudmp5NmkxbzljZGEwOAByITFKTG1mNkRPZ1MzTFg2UTFfYmVrOHFNbThUVF9raGpicA==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