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6651" w14:textId="1574D1FF" w:rsidR="007F69D1" w:rsidRDefault="005366A5">
      <w:pPr>
        <w:widowControl w:val="0"/>
        <w:pBdr>
          <w:top w:val="nil"/>
          <w:left w:val="nil"/>
          <w:bottom w:val="nil"/>
          <w:right w:val="nil"/>
          <w:between w:val="nil"/>
        </w:pBdr>
        <w:spacing w:line="276" w:lineRule="auto"/>
        <w:ind w:left="0" w:hanging="2"/>
        <w:rPr>
          <w:rFonts w:ascii="Courier New" w:eastAsia="Courier New" w:hAnsi="Courier New" w:cs="Courier New"/>
          <w:sz w:val="22"/>
          <w:szCs w:val="22"/>
        </w:rPr>
      </w:pPr>
      <w:r>
        <w:rPr>
          <w:rFonts w:ascii="Courier New" w:eastAsia="Courier New" w:hAnsi="Courier New" w:cs="Courier New"/>
          <w:sz w:val="22"/>
          <w:szCs w:val="22"/>
        </w:rPr>
        <w:t xml:space="preserve"> </w:t>
      </w:r>
    </w:p>
    <w:p w14:paraId="0282221F" w14:textId="77777777" w:rsidR="007F69D1" w:rsidRDefault="007F69D1">
      <w:pPr>
        <w:widowControl w:val="0"/>
        <w:pBdr>
          <w:top w:val="nil"/>
          <w:left w:val="nil"/>
          <w:bottom w:val="nil"/>
          <w:right w:val="nil"/>
          <w:between w:val="nil"/>
        </w:pBdr>
        <w:spacing w:line="276" w:lineRule="auto"/>
        <w:ind w:left="0" w:hanging="2"/>
        <w:rPr>
          <w:rFonts w:ascii="Courier New" w:eastAsia="Courier New" w:hAnsi="Courier New" w:cs="Courier New"/>
          <w:sz w:val="22"/>
          <w:szCs w:val="22"/>
        </w:rPr>
      </w:pPr>
    </w:p>
    <w:p w14:paraId="5563B9EE" w14:textId="77777777" w:rsidR="007F69D1" w:rsidRDefault="00000000">
      <w:pPr>
        <w:spacing w:line="240" w:lineRule="auto"/>
        <w:ind w:left="1" w:hanging="3"/>
        <w:jc w:val="center"/>
        <w:rPr>
          <w:rFonts w:ascii="Times New Roman" w:eastAsia="Times New Roman" w:hAnsi="Times New Roman" w:cs="Times New Roman"/>
          <w:sz w:val="28"/>
          <w:szCs w:val="28"/>
        </w:rPr>
      </w:pPr>
      <w:r>
        <w:rPr>
          <w:rFonts w:ascii="Eras Medium ITC" w:eastAsia="Eras Medium ITC" w:hAnsi="Eras Medium ITC" w:cs="Eras Medium ITC"/>
          <w:b/>
          <w:color w:val="5F497A"/>
          <w:sz w:val="28"/>
          <w:szCs w:val="28"/>
        </w:rPr>
        <w:t>CRITERIOS DE EVALUACIÓN, DE PROMOCIÓN Y DE TITULACIÓN. HERRAMIENTAS/INSTRUMENTOS DE EVALUACIÓN. CURSO 2023-24</w:t>
      </w:r>
    </w:p>
    <w:p w14:paraId="6DE0C1EB" w14:textId="77777777" w:rsidR="007F69D1" w:rsidRDefault="007F69D1">
      <w:pPr>
        <w:widowControl w:val="0"/>
        <w:pBdr>
          <w:top w:val="nil"/>
          <w:left w:val="nil"/>
          <w:bottom w:val="nil"/>
          <w:right w:val="nil"/>
          <w:between w:val="nil"/>
        </w:pBdr>
        <w:spacing w:line="276" w:lineRule="auto"/>
        <w:ind w:left="0" w:hanging="2"/>
        <w:rPr>
          <w:rFonts w:ascii="Courier New" w:eastAsia="Courier New" w:hAnsi="Courier New" w:cs="Courier New"/>
          <w:sz w:val="22"/>
          <w:szCs w:val="22"/>
        </w:rPr>
      </w:pPr>
    </w:p>
    <w:p w14:paraId="627C38C6" w14:textId="77777777" w:rsidR="007F69D1" w:rsidRDefault="007F69D1">
      <w:pPr>
        <w:widowControl w:val="0"/>
        <w:pBdr>
          <w:top w:val="nil"/>
          <w:left w:val="nil"/>
          <w:bottom w:val="nil"/>
          <w:right w:val="nil"/>
          <w:between w:val="nil"/>
        </w:pBdr>
        <w:spacing w:line="276" w:lineRule="auto"/>
        <w:ind w:left="0" w:hanging="2"/>
        <w:rPr>
          <w:rFonts w:ascii="Courier New" w:eastAsia="Courier New" w:hAnsi="Courier New" w:cs="Courier New"/>
          <w:sz w:val="22"/>
          <w:szCs w:val="22"/>
        </w:rPr>
      </w:pPr>
    </w:p>
    <w:tbl>
      <w:tblPr>
        <w:tblStyle w:val="afffff3"/>
        <w:tblW w:w="10215"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7275"/>
      </w:tblGrid>
      <w:tr w:rsidR="007F69D1" w14:paraId="363E7F3F" w14:textId="77777777">
        <w:trPr>
          <w:cantSplit/>
          <w:trHeight w:val="270"/>
          <w:tblHeader/>
        </w:trPr>
        <w:tc>
          <w:tcPr>
            <w:tcW w:w="2940" w:type="dxa"/>
            <w:shd w:val="clear" w:color="auto" w:fill="B4A7D6"/>
            <w:vAlign w:val="center"/>
          </w:tcPr>
          <w:p w14:paraId="529AED0E" w14:textId="77777777" w:rsidR="007F69D1" w:rsidRDefault="00000000">
            <w:pPr>
              <w:ind w:left="1" w:hanging="3"/>
              <w:rPr>
                <w:rFonts w:ascii="Calibri" w:eastAsia="Calibri" w:hAnsi="Calibri" w:cs="Calibri"/>
                <w:sz w:val="28"/>
                <w:szCs w:val="28"/>
                <w:shd w:val="clear" w:color="auto" w:fill="9900FF"/>
              </w:rPr>
            </w:pPr>
            <w:r>
              <w:rPr>
                <w:rFonts w:ascii="Calibri" w:eastAsia="Calibri" w:hAnsi="Calibri" w:cs="Calibri"/>
                <w:b/>
                <w:sz w:val="28"/>
                <w:szCs w:val="28"/>
              </w:rPr>
              <w:t>DEPARTAMENTO</w:t>
            </w:r>
          </w:p>
        </w:tc>
        <w:tc>
          <w:tcPr>
            <w:tcW w:w="7275" w:type="dxa"/>
            <w:vAlign w:val="center"/>
          </w:tcPr>
          <w:p w14:paraId="1C8505DC" w14:textId="6934BA24" w:rsidR="007F69D1" w:rsidRDefault="005366A5">
            <w:pPr>
              <w:keepNext/>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Geografía e Historia /Economía</w:t>
            </w:r>
          </w:p>
        </w:tc>
      </w:tr>
      <w:tr w:rsidR="007F69D1" w14:paraId="03FB414D" w14:textId="77777777">
        <w:trPr>
          <w:cantSplit/>
          <w:trHeight w:val="277"/>
          <w:tblHeader/>
        </w:trPr>
        <w:tc>
          <w:tcPr>
            <w:tcW w:w="2940" w:type="dxa"/>
            <w:shd w:val="clear" w:color="auto" w:fill="B4A7D6"/>
            <w:vAlign w:val="center"/>
          </w:tcPr>
          <w:p w14:paraId="16A461D1" w14:textId="77777777" w:rsidR="007F69D1" w:rsidRDefault="00000000">
            <w:pPr>
              <w:ind w:left="1" w:hanging="3"/>
              <w:rPr>
                <w:rFonts w:ascii="Calibri" w:eastAsia="Calibri" w:hAnsi="Calibri" w:cs="Calibri"/>
                <w:sz w:val="28"/>
                <w:szCs w:val="28"/>
              </w:rPr>
            </w:pPr>
            <w:r>
              <w:rPr>
                <w:rFonts w:ascii="Calibri" w:eastAsia="Calibri" w:hAnsi="Calibri" w:cs="Calibri"/>
                <w:b/>
                <w:sz w:val="28"/>
                <w:szCs w:val="28"/>
              </w:rPr>
              <w:t>CURSO/MODALIDAD</w:t>
            </w:r>
          </w:p>
        </w:tc>
        <w:tc>
          <w:tcPr>
            <w:tcW w:w="7275" w:type="dxa"/>
            <w:vAlign w:val="center"/>
          </w:tcPr>
          <w:p w14:paraId="3B493ECE" w14:textId="56E68507" w:rsidR="007F69D1" w:rsidRDefault="005366A5">
            <w:pPr>
              <w:ind w:left="0" w:hanging="2"/>
              <w:rPr>
                <w:rFonts w:ascii="Calibri" w:eastAsia="Calibri" w:hAnsi="Calibri" w:cs="Calibri"/>
                <w:sz w:val="22"/>
                <w:szCs w:val="22"/>
              </w:rPr>
            </w:pPr>
            <w:r>
              <w:rPr>
                <w:rFonts w:ascii="Calibri" w:eastAsia="Calibri" w:hAnsi="Calibri" w:cs="Calibri"/>
                <w:sz w:val="22"/>
                <w:szCs w:val="22"/>
              </w:rPr>
              <w:t>2º ESO</w:t>
            </w:r>
          </w:p>
        </w:tc>
      </w:tr>
    </w:tbl>
    <w:p w14:paraId="5904DFFE" w14:textId="77777777" w:rsidR="007F69D1" w:rsidRDefault="007F69D1">
      <w:pPr>
        <w:ind w:left="0" w:hanging="2"/>
        <w:rPr>
          <w:rFonts w:ascii="Calibri" w:eastAsia="Calibri" w:hAnsi="Calibri" w:cs="Calibri"/>
          <w:sz w:val="22"/>
          <w:szCs w:val="22"/>
        </w:rPr>
      </w:pPr>
    </w:p>
    <w:tbl>
      <w:tblPr>
        <w:tblStyle w:val="afffff4"/>
        <w:tblW w:w="10260"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7F69D1" w14:paraId="6B129413" w14:textId="77777777">
        <w:trPr>
          <w:cantSplit/>
          <w:tblHeader/>
        </w:trPr>
        <w:tc>
          <w:tcPr>
            <w:tcW w:w="10260" w:type="dxa"/>
            <w:shd w:val="clear" w:color="auto" w:fill="B4A7D6"/>
          </w:tcPr>
          <w:p w14:paraId="2B11F5E1" w14:textId="77777777" w:rsidR="007F69D1" w:rsidRDefault="00000000">
            <w:pPr>
              <w:keepNext/>
              <w:pBdr>
                <w:top w:val="nil"/>
                <w:left w:val="nil"/>
                <w:bottom w:val="nil"/>
                <w:right w:val="nil"/>
                <w:between w:val="nil"/>
              </w:pBdr>
              <w:spacing w:line="240" w:lineRule="auto"/>
              <w:ind w:left="1" w:hanging="3"/>
              <w:jc w:val="center"/>
              <w:rPr>
                <w:rFonts w:ascii="Calibri" w:eastAsia="Calibri" w:hAnsi="Calibri" w:cs="Calibri"/>
                <w:b/>
                <w:color w:val="000000"/>
                <w:sz w:val="28"/>
                <w:szCs w:val="28"/>
              </w:rPr>
            </w:pPr>
            <w:r>
              <w:rPr>
                <w:rFonts w:ascii="Calibri" w:eastAsia="Calibri" w:hAnsi="Calibri" w:cs="Calibri"/>
                <w:b/>
                <w:color w:val="000000"/>
                <w:sz w:val="28"/>
                <w:szCs w:val="28"/>
              </w:rPr>
              <w:t>MATERIA</w:t>
            </w:r>
          </w:p>
        </w:tc>
      </w:tr>
      <w:tr w:rsidR="007F69D1" w14:paraId="7205BC49" w14:textId="77777777">
        <w:trPr>
          <w:cantSplit/>
          <w:tblHeader/>
        </w:trPr>
        <w:tc>
          <w:tcPr>
            <w:tcW w:w="10260" w:type="dxa"/>
          </w:tcPr>
          <w:p w14:paraId="42C786DA" w14:textId="77777777" w:rsidR="007F69D1" w:rsidRDefault="007F69D1">
            <w:pPr>
              <w:keepNext/>
              <w:pBdr>
                <w:top w:val="nil"/>
                <w:left w:val="nil"/>
                <w:bottom w:val="nil"/>
                <w:right w:val="nil"/>
                <w:between w:val="nil"/>
              </w:pBdr>
              <w:spacing w:line="240" w:lineRule="auto"/>
              <w:ind w:left="0" w:hanging="2"/>
              <w:jc w:val="center"/>
              <w:rPr>
                <w:rFonts w:ascii="Calibri" w:eastAsia="Calibri" w:hAnsi="Calibri" w:cs="Calibri"/>
                <w:sz w:val="22"/>
                <w:szCs w:val="22"/>
              </w:rPr>
            </w:pPr>
          </w:p>
          <w:p w14:paraId="41A8534B" w14:textId="77777777" w:rsidR="005366A5" w:rsidRPr="005366A5" w:rsidRDefault="005366A5" w:rsidP="005366A5">
            <w:pPr>
              <w:keepNext/>
              <w:pBdr>
                <w:top w:val="nil"/>
                <w:left w:val="nil"/>
                <w:bottom w:val="nil"/>
                <w:right w:val="nil"/>
                <w:between w:val="nil"/>
              </w:pBdr>
              <w:spacing w:line="240" w:lineRule="auto"/>
              <w:ind w:left="0" w:hanging="2"/>
              <w:jc w:val="center"/>
              <w:rPr>
                <w:rFonts w:ascii="Calibri" w:eastAsia="Calibri" w:hAnsi="Calibri" w:cs="Calibri"/>
                <w:sz w:val="22"/>
                <w:szCs w:val="22"/>
              </w:rPr>
            </w:pPr>
            <w:r w:rsidRPr="005366A5">
              <w:rPr>
                <w:rFonts w:ascii="Calibri" w:eastAsia="Calibri" w:hAnsi="Calibri" w:cs="Calibri"/>
                <w:sz w:val="22"/>
                <w:szCs w:val="22"/>
              </w:rPr>
              <w:t xml:space="preserve">Educación en Valores Cívicos y Éticos </w:t>
            </w:r>
          </w:p>
          <w:p w14:paraId="7B8D2D09" w14:textId="77777777" w:rsidR="007F69D1" w:rsidRDefault="007F69D1">
            <w:pPr>
              <w:keepNext/>
              <w:pBdr>
                <w:top w:val="nil"/>
                <w:left w:val="nil"/>
                <w:bottom w:val="nil"/>
                <w:right w:val="nil"/>
                <w:between w:val="nil"/>
              </w:pBdr>
              <w:spacing w:line="240" w:lineRule="auto"/>
              <w:ind w:left="0" w:hanging="2"/>
              <w:jc w:val="center"/>
              <w:rPr>
                <w:rFonts w:ascii="Calibri" w:eastAsia="Calibri" w:hAnsi="Calibri" w:cs="Calibri"/>
                <w:sz w:val="22"/>
                <w:szCs w:val="22"/>
              </w:rPr>
            </w:pPr>
          </w:p>
        </w:tc>
      </w:tr>
    </w:tbl>
    <w:p w14:paraId="61152CD6" w14:textId="77777777" w:rsidR="007F69D1" w:rsidRDefault="007F69D1">
      <w:pPr>
        <w:ind w:left="0" w:hanging="2"/>
        <w:rPr>
          <w:rFonts w:ascii="Calibri" w:eastAsia="Calibri" w:hAnsi="Calibri" w:cs="Calibri"/>
          <w:sz w:val="22"/>
          <w:szCs w:val="22"/>
        </w:rPr>
      </w:pPr>
    </w:p>
    <w:tbl>
      <w:tblPr>
        <w:tblStyle w:val="afffff5"/>
        <w:tblW w:w="10275"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5"/>
      </w:tblGrid>
      <w:tr w:rsidR="007F69D1" w14:paraId="560FFE2D" w14:textId="77777777">
        <w:trPr>
          <w:cantSplit/>
          <w:trHeight w:val="260"/>
          <w:tblHeader/>
        </w:trPr>
        <w:tc>
          <w:tcPr>
            <w:tcW w:w="10275" w:type="dxa"/>
            <w:shd w:val="clear" w:color="auto" w:fill="B4A7D6"/>
          </w:tcPr>
          <w:p w14:paraId="0465F260" w14:textId="77777777" w:rsidR="007F69D1" w:rsidRDefault="00000000">
            <w:pPr>
              <w:ind w:left="1" w:hanging="3"/>
              <w:jc w:val="center"/>
              <w:rPr>
                <w:rFonts w:ascii="Calibri" w:eastAsia="Calibri" w:hAnsi="Calibri" w:cs="Calibri"/>
                <w:sz w:val="28"/>
                <w:szCs w:val="28"/>
              </w:rPr>
            </w:pPr>
            <w:r>
              <w:rPr>
                <w:rFonts w:ascii="Calibri" w:eastAsia="Calibri" w:hAnsi="Calibri" w:cs="Calibri"/>
                <w:b/>
                <w:sz w:val="28"/>
                <w:szCs w:val="28"/>
              </w:rPr>
              <w:t>PROFESORADO</w:t>
            </w:r>
          </w:p>
        </w:tc>
      </w:tr>
      <w:tr w:rsidR="007F69D1" w14:paraId="274C777B" w14:textId="77777777">
        <w:trPr>
          <w:cantSplit/>
          <w:trHeight w:val="412"/>
          <w:tblHeader/>
        </w:trPr>
        <w:tc>
          <w:tcPr>
            <w:tcW w:w="10275" w:type="dxa"/>
          </w:tcPr>
          <w:p w14:paraId="3E96F21E" w14:textId="77777777" w:rsidR="007F69D1" w:rsidRDefault="007F69D1">
            <w:pPr>
              <w:ind w:left="0" w:hanging="2"/>
              <w:jc w:val="center"/>
              <w:rPr>
                <w:rFonts w:ascii="Calibri" w:eastAsia="Calibri" w:hAnsi="Calibri" w:cs="Calibri"/>
                <w:sz w:val="22"/>
                <w:szCs w:val="22"/>
              </w:rPr>
            </w:pPr>
          </w:p>
          <w:p w14:paraId="0F7474D5" w14:textId="77777777" w:rsidR="005366A5" w:rsidRPr="005366A5" w:rsidRDefault="005366A5" w:rsidP="005366A5">
            <w:pPr>
              <w:ind w:left="0" w:hanging="2"/>
              <w:jc w:val="center"/>
              <w:rPr>
                <w:rFonts w:ascii="Calibri" w:eastAsia="Calibri" w:hAnsi="Calibri" w:cs="Calibri"/>
                <w:sz w:val="22"/>
                <w:szCs w:val="22"/>
              </w:rPr>
            </w:pPr>
            <w:r w:rsidRPr="005366A5">
              <w:rPr>
                <w:rFonts w:ascii="Calibri" w:eastAsia="Calibri" w:hAnsi="Calibri" w:cs="Calibri"/>
                <w:sz w:val="22"/>
                <w:szCs w:val="22"/>
              </w:rPr>
              <w:t>Arcángel Bedmar González</w:t>
            </w:r>
          </w:p>
          <w:p w14:paraId="01B2CE06" w14:textId="77777777" w:rsidR="005366A5" w:rsidRPr="005366A5" w:rsidRDefault="005366A5" w:rsidP="005366A5">
            <w:pPr>
              <w:ind w:left="0" w:hanging="2"/>
              <w:jc w:val="center"/>
              <w:rPr>
                <w:rFonts w:ascii="Calibri" w:eastAsia="Calibri" w:hAnsi="Calibri" w:cs="Calibri"/>
                <w:sz w:val="22"/>
                <w:szCs w:val="22"/>
              </w:rPr>
            </w:pPr>
            <w:r w:rsidRPr="005366A5">
              <w:rPr>
                <w:rFonts w:ascii="Calibri" w:eastAsia="Calibri" w:hAnsi="Calibri" w:cs="Calibri"/>
                <w:sz w:val="22"/>
                <w:szCs w:val="22"/>
              </w:rPr>
              <w:t>Conrado Castilla Rubio</w:t>
            </w:r>
          </w:p>
          <w:p w14:paraId="439669F6" w14:textId="77777777" w:rsidR="005366A5" w:rsidRPr="005366A5" w:rsidRDefault="005366A5" w:rsidP="005366A5">
            <w:pPr>
              <w:ind w:left="0" w:hanging="2"/>
              <w:jc w:val="center"/>
              <w:rPr>
                <w:rFonts w:ascii="Calibri" w:eastAsia="Calibri" w:hAnsi="Calibri" w:cs="Calibri"/>
                <w:sz w:val="22"/>
                <w:szCs w:val="22"/>
              </w:rPr>
            </w:pPr>
            <w:proofErr w:type="spellStart"/>
            <w:r w:rsidRPr="005366A5">
              <w:rPr>
                <w:rFonts w:ascii="Calibri" w:eastAsia="Calibri" w:hAnsi="Calibri" w:cs="Calibri"/>
                <w:sz w:val="22"/>
                <w:szCs w:val="22"/>
              </w:rPr>
              <w:t>Mª</w:t>
            </w:r>
            <w:proofErr w:type="spellEnd"/>
            <w:r w:rsidRPr="005366A5">
              <w:rPr>
                <w:rFonts w:ascii="Calibri" w:eastAsia="Calibri" w:hAnsi="Calibri" w:cs="Calibri"/>
                <w:sz w:val="22"/>
                <w:szCs w:val="22"/>
              </w:rPr>
              <w:t xml:space="preserve"> Ángeles Murciano Calles</w:t>
            </w:r>
          </w:p>
          <w:p w14:paraId="3FD346B6" w14:textId="77777777" w:rsidR="007F69D1" w:rsidRDefault="007F69D1">
            <w:pPr>
              <w:ind w:left="0" w:hanging="2"/>
              <w:jc w:val="center"/>
              <w:rPr>
                <w:rFonts w:ascii="Calibri" w:eastAsia="Calibri" w:hAnsi="Calibri" w:cs="Calibri"/>
                <w:sz w:val="22"/>
                <w:szCs w:val="22"/>
              </w:rPr>
            </w:pPr>
          </w:p>
        </w:tc>
      </w:tr>
    </w:tbl>
    <w:p w14:paraId="3B906879" w14:textId="77777777" w:rsidR="007F69D1" w:rsidRDefault="007F69D1">
      <w:pPr>
        <w:ind w:left="0" w:hanging="2"/>
        <w:rPr>
          <w:rFonts w:ascii="Calibri" w:eastAsia="Calibri" w:hAnsi="Calibri" w:cs="Calibri"/>
          <w:b/>
        </w:rPr>
      </w:pPr>
    </w:p>
    <w:p w14:paraId="2E04CC0A" w14:textId="77777777" w:rsidR="007F69D1" w:rsidRDefault="007F69D1">
      <w:pPr>
        <w:ind w:left="0" w:hanging="2"/>
      </w:pPr>
    </w:p>
    <w:tbl>
      <w:tblPr>
        <w:tblStyle w:val="afffff6"/>
        <w:tblW w:w="10275"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5"/>
      </w:tblGrid>
      <w:tr w:rsidR="007F69D1" w14:paraId="6F956404" w14:textId="77777777">
        <w:trPr>
          <w:cantSplit/>
          <w:trHeight w:val="260"/>
          <w:tblHeader/>
        </w:trPr>
        <w:tc>
          <w:tcPr>
            <w:tcW w:w="10275" w:type="dxa"/>
            <w:tcBorders>
              <w:bottom w:val="single" w:sz="4" w:space="0" w:color="000000"/>
            </w:tcBorders>
            <w:shd w:val="clear" w:color="auto" w:fill="B4A7D6"/>
          </w:tcPr>
          <w:p w14:paraId="09146C8F" w14:textId="77777777" w:rsidR="007F69D1" w:rsidRDefault="00000000">
            <w:pPr>
              <w:keepNext/>
              <w:pBdr>
                <w:top w:val="nil"/>
                <w:left w:val="nil"/>
                <w:bottom w:val="nil"/>
                <w:right w:val="nil"/>
                <w:between w:val="nil"/>
              </w:pBdr>
              <w:spacing w:line="240" w:lineRule="auto"/>
              <w:ind w:left="1" w:hanging="3"/>
              <w:rPr>
                <w:rFonts w:ascii="Calibri" w:eastAsia="Calibri" w:hAnsi="Calibri" w:cs="Calibri"/>
                <w:b/>
                <w:i/>
                <w:color w:val="000000"/>
                <w:sz w:val="28"/>
                <w:szCs w:val="28"/>
              </w:rPr>
            </w:pPr>
            <w:bookmarkStart w:id="0" w:name="_heading=h.i8tfz88n9kte" w:colFirst="0" w:colLast="0"/>
            <w:bookmarkEnd w:id="0"/>
            <w:r>
              <w:rPr>
                <w:rFonts w:ascii="Calibri" w:eastAsia="Calibri" w:hAnsi="Calibri" w:cs="Calibri"/>
                <w:b/>
                <w:i/>
                <w:color w:val="000000"/>
                <w:sz w:val="28"/>
                <w:szCs w:val="28"/>
              </w:rPr>
              <w:t>1. Criterios de evaluación</w:t>
            </w:r>
          </w:p>
        </w:tc>
      </w:tr>
    </w:tbl>
    <w:p w14:paraId="512AE4E3" w14:textId="77777777" w:rsidR="007F69D1" w:rsidRDefault="007F69D1">
      <w:pPr>
        <w:ind w:left="0" w:hanging="2"/>
      </w:pPr>
    </w:p>
    <w:p w14:paraId="3ADF5756" w14:textId="77777777" w:rsidR="00182507" w:rsidRPr="00182507" w:rsidRDefault="00182507" w:rsidP="00182507">
      <w:p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1. Inquirir e investigar cuanto se refiere a la identidad humana y a cuestiones éticas relativas al propio proyecto vital, analizando críticamente información fiable y generando una actitud reflexiva al respecto, para promover el </w:t>
      </w:r>
      <w:proofErr w:type="spellStart"/>
      <w:r w:rsidRPr="00182507">
        <w:rPr>
          <w:rFonts w:ascii="Times New Roman" w:eastAsia="Times New Roman" w:hAnsi="Times New Roman" w:cs="Times New Roman"/>
          <w:position w:val="0"/>
        </w:rPr>
        <w:t>autonocimiento</w:t>
      </w:r>
      <w:proofErr w:type="spellEnd"/>
      <w:r w:rsidRPr="00182507">
        <w:rPr>
          <w:rFonts w:ascii="Times New Roman" w:eastAsia="Times New Roman" w:hAnsi="Times New Roman" w:cs="Times New Roman"/>
          <w:position w:val="0"/>
        </w:rPr>
        <w:t xml:space="preserve"> y la elaboración de planteamientos y juicios morales de manera autónoma y razonada. CCL2, CPSAA1, CC1, CC2, CC3</w:t>
      </w:r>
    </w:p>
    <w:p w14:paraId="2526450D"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4833D026"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1.1. Construir y expresar un concepto ajustado de sí mismo, reconociendo las múltiples dimensiones de su naturaleza y personalidad, así como de la dimensión cívica y moral de la misma, a partir de la investigación y el diálogo en torno a diversas concepciones sobre la naturaleza humana. </w:t>
      </w:r>
    </w:p>
    <w:p w14:paraId="06C52623"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2.A.</w:t>
      </w:r>
      <w:proofErr w:type="gramEnd"/>
      <w:r w:rsidRPr="00182507">
        <w:rPr>
          <w:rFonts w:ascii="Times New Roman" w:eastAsia="Times New Roman" w:hAnsi="Times New Roman" w:cs="Times New Roman"/>
          <w:position w:val="0"/>
        </w:rPr>
        <w:t>1. La investigación ética y la resolución de problemas complejos. El pensamiento crítico y filosófico.</w:t>
      </w:r>
    </w:p>
    <w:p w14:paraId="5454C882"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2.A.</w:t>
      </w:r>
      <w:proofErr w:type="gramEnd"/>
      <w:r w:rsidRPr="00182507">
        <w:rPr>
          <w:rFonts w:ascii="Times New Roman" w:eastAsia="Times New Roman" w:hAnsi="Times New Roman" w:cs="Times New Roman"/>
          <w:position w:val="0"/>
        </w:rPr>
        <w:t>2. La naturaleza humana y la identidad personal. Dignidad, libertad y moralidad.</w:t>
      </w:r>
    </w:p>
    <w:p w14:paraId="539CFB1E"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485A8A36"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1.2. Identificar, gestionar y comunicar ideas, emociones, afectos y deseos con comprensión y empatía hacia las demás personas, demostrando autoestima y compartiendo un concepto adecuado de lo que deben ser las relaciones con otras personas, incluyendo el ámbito afectivo-sexual. </w:t>
      </w:r>
    </w:p>
    <w:p w14:paraId="54750B10"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2.A.</w:t>
      </w:r>
      <w:proofErr w:type="gramEnd"/>
      <w:r w:rsidRPr="00182507">
        <w:rPr>
          <w:rFonts w:ascii="Times New Roman" w:eastAsia="Times New Roman" w:hAnsi="Times New Roman" w:cs="Times New Roman"/>
          <w:position w:val="0"/>
        </w:rPr>
        <w:t>3. La educación de las emociones y los sentimientos. La autoestima personal. La igualdad y el respeto mutuo en las relaciones con otras personas.</w:t>
      </w:r>
    </w:p>
    <w:p w14:paraId="29364FA9"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2.A.</w:t>
      </w:r>
      <w:proofErr w:type="gramEnd"/>
      <w:r w:rsidRPr="00182507">
        <w:rPr>
          <w:rFonts w:ascii="Times New Roman" w:eastAsia="Times New Roman" w:hAnsi="Times New Roman" w:cs="Times New Roman"/>
          <w:position w:val="0"/>
        </w:rPr>
        <w:t>4. La educación afectivo-sexual.</w:t>
      </w:r>
    </w:p>
    <w:p w14:paraId="239AE0FC"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07B5EE2E"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1.3. Desarrollar y demostrar autonomía moral a través de la práctica de la deliberación racional, el uso de conceptos éticos, y el diálogo respetuoso con los demás, en torno a distintos valores y modos de </w:t>
      </w:r>
      <w:r w:rsidRPr="00182507">
        <w:rPr>
          <w:rFonts w:ascii="Times New Roman" w:eastAsia="Times New Roman" w:hAnsi="Times New Roman" w:cs="Times New Roman"/>
          <w:position w:val="0"/>
        </w:rPr>
        <w:lastRenderedPageBreak/>
        <w:t xml:space="preserve">vida, así como a problemas relacionados con el ejercicio de los derechos individuales, el uso responsable y seguro de las redes, las conductas adictivas y el acoso escolar. </w:t>
      </w:r>
    </w:p>
    <w:p w14:paraId="697F0AE3"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2.A.</w:t>
      </w:r>
      <w:proofErr w:type="gramEnd"/>
      <w:r w:rsidRPr="00182507">
        <w:rPr>
          <w:rFonts w:ascii="Times New Roman" w:eastAsia="Times New Roman" w:hAnsi="Times New Roman" w:cs="Times New Roman"/>
          <w:position w:val="0"/>
        </w:rPr>
        <w:t>5. Deseos y razones. La voluntad y el juicio moral. Autonomía y responsabilidad.</w:t>
      </w:r>
    </w:p>
    <w:p w14:paraId="49D19ECD"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2.A.</w:t>
      </w:r>
      <w:proofErr w:type="gramEnd"/>
      <w:r w:rsidRPr="00182507">
        <w:rPr>
          <w:rFonts w:ascii="Times New Roman" w:eastAsia="Times New Roman" w:hAnsi="Times New Roman" w:cs="Times New Roman"/>
          <w:position w:val="0"/>
        </w:rPr>
        <w:t>6. La ética como guía de nuestras acciones. La reflexión en torno a lo valioso y los valores: universalismo y pluralismo moral. Normas, las virtudes y los sentimientos morales. Éticas de la felicidad, éticas del deber y éticas de la virtud.</w:t>
      </w:r>
    </w:p>
    <w:p w14:paraId="09C5ED60"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2.A.</w:t>
      </w:r>
      <w:proofErr w:type="gramEnd"/>
      <w:r w:rsidRPr="00182507">
        <w:rPr>
          <w:rFonts w:ascii="Times New Roman" w:eastAsia="Times New Roman" w:hAnsi="Times New Roman" w:cs="Times New Roman"/>
          <w:position w:val="0"/>
        </w:rPr>
        <w:t>8. El problema de la desinformación. La protección de datos y el derecho a la intimidad. El ciberacoso y las situaciones de violencia en las redes. Las conductas adictivas.</w:t>
      </w:r>
    </w:p>
    <w:p w14:paraId="0930399F"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1A1F2FA7"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2. Actuar e interactuar de acuerdo con normas y valores cívicos y éticos, a partir del reconocimiento fundado de su importancia para regular la vida comunitaria y su aplicación efectiva y justificada en distintos contextos, para promover una convivencia pacífica, respetuosa, democrática y comprometida con el bien común. CCL5, CD3, CC1, CC2, CC3, CC4, CCEC1.</w:t>
      </w:r>
    </w:p>
    <w:p w14:paraId="3973D78F"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2C216423"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democrática, dignidad y derechos humanos. </w:t>
      </w:r>
    </w:p>
    <w:p w14:paraId="180B6EBB"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2.A.</w:t>
      </w:r>
      <w:proofErr w:type="gramEnd"/>
      <w:r w:rsidRPr="00182507">
        <w:rPr>
          <w:rFonts w:ascii="Times New Roman" w:eastAsia="Times New Roman" w:hAnsi="Times New Roman" w:cs="Times New Roman"/>
          <w:position w:val="0"/>
        </w:rPr>
        <w:t>7. El conflicto entre legitimidad y legalidad. La objeción de conciencia. Los derechos individuales y el debate en torno a la libertad de expresión. El Estado de derecho y los valores constitucionales. La democracia: principios, procedimientos e instituciones.</w:t>
      </w:r>
    </w:p>
    <w:p w14:paraId="09A3B183"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2. La naturaleza y origen de la sociedad: competencia y cooperación, egoísmo y altruismo. Las estructuras sociales y los grupos de pertenencia.</w:t>
      </w:r>
    </w:p>
    <w:p w14:paraId="67DD9D31"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 xml:space="preserve">3. La política: ley, poder, soberanía y justicia. Formas de estado y tipos de gobierno. El Estado de </w:t>
      </w:r>
      <w:proofErr w:type="gramStart"/>
      <w:r w:rsidRPr="00182507">
        <w:rPr>
          <w:rFonts w:ascii="Times New Roman" w:eastAsia="Times New Roman" w:hAnsi="Times New Roman" w:cs="Times New Roman"/>
          <w:position w:val="0"/>
        </w:rPr>
        <w:t>derecho .</w:t>
      </w:r>
      <w:proofErr w:type="gramEnd"/>
      <w:r w:rsidRPr="00182507">
        <w:rPr>
          <w:rFonts w:ascii="Times New Roman" w:eastAsia="Times New Roman" w:hAnsi="Times New Roman" w:cs="Times New Roman"/>
          <w:position w:val="0"/>
        </w:rPr>
        <w:t xml:space="preserve"> La Constitución española de 1978 y sus valores como norma fundamental de todos los españoles. La democracia: principios, procedimientos e instituciones. La Comunidad Autónoma de Andalucía, su Estatuto e Instituciones. Blas Infante y el Andalucismo histórico. La memoria democrática. La guerra, el terrorismo de ETA y otras formas de violencia política.</w:t>
      </w:r>
    </w:p>
    <w:p w14:paraId="3BE46041"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 </w:t>
      </w:r>
    </w:p>
    <w:p w14:paraId="434D7654"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éticos y democráticos explícitos. </w:t>
      </w:r>
    </w:p>
    <w:p w14:paraId="0DC150C1"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1. Las virtudes del diálogo y las normas de argumentación. La resolución pacífica de conflictos. La empatía con los demás.</w:t>
      </w:r>
    </w:p>
    <w:p w14:paraId="4C43C697"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5. Asociacionismo y voluntariado. La ciudadanía y la participación democrática. Los códigos deontológicos. Las éticas aplicadas.</w:t>
      </w:r>
    </w:p>
    <w:p w14:paraId="5F267DD3"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6. La desigualdad económica y la lucha contra la pobreza. Globalización económica y bienes públicos globales. El comercio justo. El derecho al trabajo, la salud, la educación y la justicia. El valor social de los impuestos.</w:t>
      </w:r>
    </w:p>
    <w:p w14:paraId="62B5E1DD"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9. Fines y límites éticos de la investigación científica. La bioética. El desafío de la inteligencia artificial. Las propuestas transhumanistas.</w:t>
      </w:r>
    </w:p>
    <w:p w14:paraId="76A6CFCC"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787EB041"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de la investigación científica. </w:t>
      </w:r>
    </w:p>
    <w:p w14:paraId="2F3CA43A"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4. Las distintas generaciones de derechos humanos. Su constitución histórica y su relevancia ética. Los derechos de la infancia.</w:t>
      </w:r>
    </w:p>
    <w:p w14:paraId="44750D3A"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lastRenderedPageBreak/>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6. La desigualdad económica y la lucha contra la pobreza. Globalización económica y bienes públicos globales. El comercio justo. El derecho al trabajo, la salud, la educación y la justicia. El valor social de los impuestos.</w:t>
      </w:r>
    </w:p>
    <w:p w14:paraId="598940D6"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9. Fines y límites éticos de la investigación científica. La bioética. El desafío de la inteligencia artificial. Las propuestas transhumanistas.</w:t>
      </w:r>
    </w:p>
    <w:p w14:paraId="0189389F"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084DEE4D"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reconociendo la necesidad de respetarlos. </w:t>
      </w:r>
    </w:p>
    <w:p w14:paraId="30BBBED7"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7. La igualdad de género y las diversas olas y corrientes del feminismo. La prevención de la explotación y la violencia contra niñas y mujeres. La corresponsabilidad en las tareas domésticas y de cuidados.</w:t>
      </w:r>
    </w:p>
    <w:p w14:paraId="2D950C4B"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 xml:space="preserve">8. El interculturalismo. La inclusión social y el respeto por la diversidad y las identidades </w:t>
      </w:r>
      <w:proofErr w:type="spellStart"/>
      <w:r w:rsidRPr="00182507">
        <w:rPr>
          <w:rFonts w:ascii="Times New Roman" w:eastAsia="Times New Roman" w:hAnsi="Times New Roman" w:cs="Times New Roman"/>
          <w:position w:val="0"/>
        </w:rPr>
        <w:t>etnocultural</w:t>
      </w:r>
      <w:proofErr w:type="spellEnd"/>
      <w:r w:rsidRPr="00182507">
        <w:rPr>
          <w:rFonts w:ascii="Times New Roman" w:eastAsia="Times New Roman" w:hAnsi="Times New Roman" w:cs="Times New Roman"/>
          <w:position w:val="0"/>
        </w:rPr>
        <w:t xml:space="preserve"> y de género. Los derechos LGTBIQ+.</w:t>
      </w:r>
    </w:p>
    <w:p w14:paraId="4A0574B2"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4E5AB1E2"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2.5. Contribuir activamente al bienestar social adoptando una posición propia, explícita, informada y éticamente fundamentada, sobre el valor y pertinencia de los derechos humanos, el respeto por la diversidad </w:t>
      </w:r>
      <w:proofErr w:type="spellStart"/>
      <w:r w:rsidRPr="00182507">
        <w:rPr>
          <w:rFonts w:ascii="Times New Roman" w:eastAsia="Times New Roman" w:hAnsi="Times New Roman" w:cs="Times New Roman"/>
          <w:position w:val="0"/>
        </w:rPr>
        <w:t>etnocultural</w:t>
      </w:r>
      <w:proofErr w:type="spellEnd"/>
      <w:r w:rsidRPr="00182507">
        <w:rPr>
          <w:rFonts w:ascii="Times New Roman" w:eastAsia="Times New Roman" w:hAnsi="Times New Roman" w:cs="Times New Roman"/>
          <w:position w:val="0"/>
        </w:rPr>
        <w:t xml:space="preserve">, la consideración de los bienes públicos globales y la percepción del valor social de los impuestos. </w:t>
      </w:r>
    </w:p>
    <w:p w14:paraId="08670BC3"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743AF773"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 xml:space="preserve">3. La política: ley, poder, soberanía y justicia. Formas de estado y tipos de gobierno. El Estado de </w:t>
      </w:r>
      <w:proofErr w:type="gramStart"/>
      <w:r w:rsidRPr="00182507">
        <w:rPr>
          <w:rFonts w:ascii="Times New Roman" w:eastAsia="Times New Roman" w:hAnsi="Times New Roman" w:cs="Times New Roman"/>
          <w:position w:val="0"/>
        </w:rPr>
        <w:t>derecho .</w:t>
      </w:r>
      <w:proofErr w:type="gramEnd"/>
      <w:r w:rsidRPr="00182507">
        <w:rPr>
          <w:rFonts w:ascii="Times New Roman" w:eastAsia="Times New Roman" w:hAnsi="Times New Roman" w:cs="Times New Roman"/>
          <w:position w:val="0"/>
        </w:rPr>
        <w:t xml:space="preserve"> La Constitución española de 1978 y sus valores como norma fundamental de todos los españoles. La democracia: principios, procedimientos e instituciones. La Comunidad Autónoma de Andalucía, su Estatuto e Instituciones. Blas Infante y el Andalucismo histórico. La memoria democrática. La guerra, el terrorismo de ETA y otras formas de violencia política.</w:t>
      </w:r>
    </w:p>
    <w:p w14:paraId="1533FF26"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4. Las distintas generaciones de derechos humanos. Su constitución histórica y su relevancia ética. Los derechos de la infancia.</w:t>
      </w:r>
    </w:p>
    <w:p w14:paraId="06D01EC3"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7938DD07"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2.6. Contribuir a la consecución de un mundo más justo y pacífico a través del análisis y reconocimiento de la historia democrática de nuestro país y de nuestra Comunidad Autónoma y de las funciones del Estado de derecho y sus instituciones nacionales y autonómicas, los organismos internacionales, las asociaciones civiles y los cuerpos y fuerzas de seguridad del Estado, en su empeño por lograr la paz y la seguridad integral, atender a las víctimas de la violencia y promover la solidaridad y cooperación entre las personas y los pueblos. </w:t>
      </w:r>
    </w:p>
    <w:p w14:paraId="15844C9B"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2.B.</w:t>
      </w:r>
      <w:proofErr w:type="gramEnd"/>
      <w:r w:rsidRPr="00182507">
        <w:rPr>
          <w:rFonts w:ascii="Times New Roman" w:eastAsia="Times New Roman" w:hAnsi="Times New Roman" w:cs="Times New Roman"/>
          <w:position w:val="0"/>
        </w:rPr>
        <w:t>10. Acciones individuales y colectivas en favor de la paz. La contribución del Estado y los organismos internacionales a la paz, la seguridad integral y la cooperación. La atención a las víctimas de la violencia. El derecho internacional y la ciudadanía global. Las fuerzas armadas y la defensa al servicio de la paz. El papel de las ONG y de las ONGD.</w:t>
      </w:r>
    </w:p>
    <w:p w14:paraId="0F7BA1EA"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14FF4C0D"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3. Entender la naturaleza interconectada e inter y </w:t>
      </w:r>
      <w:proofErr w:type="spellStart"/>
      <w:r w:rsidRPr="00182507">
        <w:rPr>
          <w:rFonts w:ascii="Times New Roman" w:eastAsia="Times New Roman" w:hAnsi="Times New Roman" w:cs="Times New Roman"/>
          <w:position w:val="0"/>
        </w:rPr>
        <w:t>ecodependiente</w:t>
      </w:r>
      <w:proofErr w:type="spellEnd"/>
      <w:r w:rsidRPr="00182507">
        <w:rPr>
          <w:rFonts w:ascii="Times New Roman" w:eastAsia="Times New Roman" w:hAnsi="Times New Roman" w:cs="Times New Roman"/>
          <w:position w:val="0"/>
        </w:rPr>
        <w:t xml:space="preserve"> de las actividades humanas, mediante la identificación y análisis de problemas </w:t>
      </w:r>
      <w:proofErr w:type="spellStart"/>
      <w:r w:rsidRPr="00182507">
        <w:rPr>
          <w:rFonts w:ascii="Times New Roman" w:eastAsia="Times New Roman" w:hAnsi="Times New Roman" w:cs="Times New Roman"/>
          <w:position w:val="0"/>
        </w:rPr>
        <w:t>ecosociales</w:t>
      </w:r>
      <w:proofErr w:type="spellEnd"/>
      <w:r w:rsidRPr="00182507">
        <w:rPr>
          <w:rFonts w:ascii="Times New Roman" w:eastAsia="Times New Roman" w:hAnsi="Times New Roman" w:cs="Times New Roman"/>
          <w:position w:val="0"/>
        </w:rPr>
        <w:t xml:space="preserve"> de relevancia, para promover hábitos y actitudes éticamente comprometidos con el logro de formas de vida sostenibles. STEM5, CPSAA2, CC1, CC2, CC3, CC4, CE1.</w:t>
      </w:r>
    </w:p>
    <w:p w14:paraId="2115517C"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49E3D5D1"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3.1. Describir las relaciones históricas de interconexión, interdependencia y </w:t>
      </w:r>
      <w:proofErr w:type="spellStart"/>
      <w:r w:rsidRPr="00182507">
        <w:rPr>
          <w:rFonts w:ascii="Times New Roman" w:eastAsia="Times New Roman" w:hAnsi="Times New Roman" w:cs="Times New Roman"/>
          <w:position w:val="0"/>
        </w:rPr>
        <w:t>ecodependencia</w:t>
      </w:r>
      <w:proofErr w:type="spellEnd"/>
      <w:r w:rsidRPr="00182507">
        <w:rPr>
          <w:rFonts w:ascii="Times New Roman" w:eastAsia="Times New Roman" w:hAnsi="Times New Roman" w:cs="Times New Roman"/>
          <w:position w:val="0"/>
        </w:rPr>
        <w:t xml:space="preserve"> entre nuestras vidas y el entorno a partir del análisis de las causas y consecuencias de los más graves problemas </w:t>
      </w:r>
      <w:proofErr w:type="spellStart"/>
      <w:r w:rsidRPr="00182507">
        <w:rPr>
          <w:rFonts w:ascii="Times New Roman" w:eastAsia="Times New Roman" w:hAnsi="Times New Roman" w:cs="Times New Roman"/>
          <w:position w:val="0"/>
        </w:rPr>
        <w:t>ecosociales</w:t>
      </w:r>
      <w:proofErr w:type="spellEnd"/>
      <w:r w:rsidRPr="00182507">
        <w:rPr>
          <w:rFonts w:ascii="Times New Roman" w:eastAsia="Times New Roman" w:hAnsi="Times New Roman" w:cs="Times New Roman"/>
          <w:position w:val="0"/>
        </w:rPr>
        <w:t xml:space="preserve"> que nos afectan tanto a nivel global como a nivel local. </w:t>
      </w:r>
    </w:p>
    <w:p w14:paraId="448E8F9D"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lastRenderedPageBreak/>
        <w:t>-VCE.</w:t>
      </w:r>
      <w:proofErr w:type="gramStart"/>
      <w:r w:rsidRPr="00182507">
        <w:rPr>
          <w:rFonts w:ascii="Times New Roman" w:eastAsia="Times New Roman" w:hAnsi="Times New Roman" w:cs="Times New Roman"/>
          <w:position w:val="0"/>
        </w:rPr>
        <w:t>2.C.</w:t>
      </w:r>
      <w:proofErr w:type="gramEnd"/>
      <w:r w:rsidRPr="00182507">
        <w:rPr>
          <w:rFonts w:ascii="Times New Roman" w:eastAsia="Times New Roman" w:hAnsi="Times New Roman" w:cs="Times New Roman"/>
          <w:position w:val="0"/>
        </w:rPr>
        <w:t xml:space="preserve">1. Interdependencia, interconexión y </w:t>
      </w:r>
      <w:proofErr w:type="spellStart"/>
      <w:r w:rsidRPr="00182507">
        <w:rPr>
          <w:rFonts w:ascii="Times New Roman" w:eastAsia="Times New Roman" w:hAnsi="Times New Roman" w:cs="Times New Roman"/>
          <w:position w:val="0"/>
        </w:rPr>
        <w:t>ecodependencia</w:t>
      </w:r>
      <w:proofErr w:type="spellEnd"/>
      <w:r w:rsidRPr="00182507">
        <w:rPr>
          <w:rFonts w:ascii="Times New Roman" w:eastAsia="Times New Roman" w:hAnsi="Times New Roman" w:cs="Times New Roman"/>
          <w:position w:val="0"/>
        </w:rPr>
        <w:t xml:space="preserve"> entre nuestras formas de vida y el entorno. Lo local y lo global. Consideración crítica de las diversas cosmovisiones sobre la relación humana con la naturaleza.</w:t>
      </w:r>
    </w:p>
    <w:p w14:paraId="2C2847F6"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205D7E9D"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3.2. Valorar distintos planteamientos científicos, políticos y éticos con los que afrontar la emergencia climática y la crisis medioambiental a través de la exposición y el debate argumental en torno a los mismos. </w:t>
      </w:r>
    </w:p>
    <w:p w14:paraId="3DCF0322"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2.C.</w:t>
      </w:r>
      <w:proofErr w:type="gramEnd"/>
      <w:r w:rsidRPr="00182507">
        <w:rPr>
          <w:rFonts w:ascii="Times New Roman" w:eastAsia="Times New Roman" w:hAnsi="Times New Roman" w:cs="Times New Roman"/>
          <w:position w:val="0"/>
        </w:rPr>
        <w:t xml:space="preserve">2. Los límites del planeta y el agotamiento de los recursos. La huella ecológica de las acciones humanas. </w:t>
      </w:r>
    </w:p>
    <w:p w14:paraId="49B80EBC"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2.C.</w:t>
      </w:r>
      <w:proofErr w:type="gramEnd"/>
      <w:r w:rsidRPr="00182507">
        <w:rPr>
          <w:rFonts w:ascii="Times New Roman" w:eastAsia="Times New Roman" w:hAnsi="Times New Roman" w:cs="Times New Roman"/>
          <w:position w:val="0"/>
        </w:rPr>
        <w:t xml:space="preserve">3. Diversos planteamientos éticos, científicos y políticos en torno a los problemas </w:t>
      </w:r>
      <w:proofErr w:type="spellStart"/>
      <w:r w:rsidRPr="00182507">
        <w:rPr>
          <w:rFonts w:ascii="Times New Roman" w:eastAsia="Times New Roman" w:hAnsi="Times New Roman" w:cs="Times New Roman"/>
          <w:position w:val="0"/>
        </w:rPr>
        <w:t>ecosociales</w:t>
      </w:r>
      <w:proofErr w:type="spellEnd"/>
      <w:r w:rsidRPr="00182507">
        <w:rPr>
          <w:rFonts w:ascii="Times New Roman" w:eastAsia="Times New Roman" w:hAnsi="Times New Roman" w:cs="Times New Roman"/>
          <w:position w:val="0"/>
        </w:rPr>
        <w:t xml:space="preserve">. La ética ambiental. La ética de los cuidados y </w:t>
      </w:r>
      <w:proofErr w:type="gramStart"/>
      <w:r w:rsidRPr="00182507">
        <w:rPr>
          <w:rFonts w:ascii="Times New Roman" w:eastAsia="Times New Roman" w:hAnsi="Times New Roman" w:cs="Times New Roman"/>
          <w:position w:val="0"/>
        </w:rPr>
        <w:t>el ecofeminismo</w:t>
      </w:r>
      <w:proofErr w:type="gramEnd"/>
      <w:r w:rsidRPr="00182507">
        <w:rPr>
          <w:rFonts w:ascii="Times New Roman" w:eastAsia="Times New Roman" w:hAnsi="Times New Roman" w:cs="Times New Roman"/>
          <w:position w:val="0"/>
        </w:rPr>
        <w:t>. Los Objetivos de Desarrollo Sostenible. El decrecimiento. La economía circular.</w:t>
      </w:r>
    </w:p>
    <w:p w14:paraId="351A24E7"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47068D41"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de Andalucía, el respeto por la diversidad </w:t>
      </w:r>
      <w:proofErr w:type="spellStart"/>
      <w:r w:rsidRPr="00182507">
        <w:rPr>
          <w:rFonts w:ascii="Times New Roman" w:eastAsia="Times New Roman" w:hAnsi="Times New Roman" w:cs="Times New Roman"/>
          <w:position w:val="0"/>
        </w:rPr>
        <w:t>etnocultural</w:t>
      </w:r>
      <w:proofErr w:type="spellEnd"/>
      <w:r w:rsidRPr="00182507">
        <w:rPr>
          <w:rFonts w:ascii="Times New Roman" w:eastAsia="Times New Roman" w:hAnsi="Times New Roman" w:cs="Times New Roman"/>
          <w:position w:val="0"/>
        </w:rPr>
        <w:t xml:space="preserve">, propia de la realizad andaluza, y el cuidado y protección de los animales. </w:t>
      </w:r>
    </w:p>
    <w:p w14:paraId="6165E08F"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2.C.</w:t>
      </w:r>
      <w:proofErr w:type="gramEnd"/>
      <w:r w:rsidRPr="00182507">
        <w:rPr>
          <w:rFonts w:ascii="Times New Roman" w:eastAsia="Times New Roman" w:hAnsi="Times New Roman" w:cs="Times New Roman"/>
          <w:position w:val="0"/>
        </w:rPr>
        <w:t xml:space="preserve">4. El compromiso activo con la protección de los animales y el medio ambiente. Los derechos de los animales y de la naturaleza. La perspectiva </w:t>
      </w:r>
      <w:proofErr w:type="spellStart"/>
      <w:r w:rsidRPr="00182507">
        <w:rPr>
          <w:rFonts w:ascii="Times New Roman" w:eastAsia="Times New Roman" w:hAnsi="Times New Roman" w:cs="Times New Roman"/>
          <w:position w:val="0"/>
        </w:rPr>
        <w:t>biocéntrica</w:t>
      </w:r>
      <w:proofErr w:type="spellEnd"/>
      <w:r w:rsidRPr="00182507">
        <w:rPr>
          <w:rFonts w:ascii="Times New Roman" w:eastAsia="Times New Roman" w:hAnsi="Times New Roman" w:cs="Times New Roman"/>
          <w:position w:val="0"/>
        </w:rPr>
        <w:t>.</w:t>
      </w:r>
    </w:p>
    <w:p w14:paraId="1C64C803"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2.C.</w:t>
      </w:r>
      <w:proofErr w:type="gramEnd"/>
      <w:r w:rsidRPr="00182507">
        <w:rPr>
          <w:rFonts w:ascii="Times New Roman" w:eastAsia="Times New Roman" w:hAnsi="Times New Roman" w:cs="Times New Roman"/>
          <w:position w:val="0"/>
        </w:rPr>
        <w:t>5. Estilos de vida sostenible: la prevención de los residuos y la gestión sostenible de los recursos. La movilidad segura, saludable y sostenible. El consumo responsable. Alimentación y soberanía alimentaria. Comunidades resilientes y en transición</w:t>
      </w:r>
    </w:p>
    <w:p w14:paraId="6159CA71"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p>
    <w:p w14:paraId="4CB84976"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4. Mostrar una adecuada estima de sí mismo y del entorno, reconociendo y valorando las emociones y los sentimientos propios y ajenos, para el logro de una actitud empática y cuidadosa con respecto a los demás y a la naturaleza. CCL1, CPSAA1, CPSAA2, CPSAA3, CC1, CC3, CCEC3.</w:t>
      </w:r>
    </w:p>
    <w:p w14:paraId="54E709BC" w14:textId="77777777" w:rsidR="00182507" w:rsidRPr="00182507" w:rsidRDefault="00182507" w:rsidP="00182507">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 xml:space="preserve">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 </w:t>
      </w:r>
    </w:p>
    <w:p w14:paraId="3E6D5148" w14:textId="77777777" w:rsidR="00182507" w:rsidRPr="00182507" w:rsidRDefault="00182507" w:rsidP="00182507">
      <w:p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position w:val="0"/>
        </w:rPr>
      </w:pPr>
      <w:r w:rsidRPr="00182507">
        <w:rPr>
          <w:rFonts w:ascii="Times New Roman" w:eastAsia="Times New Roman" w:hAnsi="Times New Roman" w:cs="Times New Roman"/>
          <w:position w:val="0"/>
        </w:rPr>
        <w:t>-VCE.</w:t>
      </w:r>
      <w:proofErr w:type="gramStart"/>
      <w:r w:rsidRPr="00182507">
        <w:rPr>
          <w:rFonts w:ascii="Times New Roman" w:eastAsia="Times New Roman" w:hAnsi="Times New Roman" w:cs="Times New Roman"/>
          <w:position w:val="0"/>
        </w:rPr>
        <w:t>2.A.</w:t>
      </w:r>
      <w:proofErr w:type="gramEnd"/>
      <w:r w:rsidRPr="00182507">
        <w:rPr>
          <w:rFonts w:ascii="Times New Roman" w:eastAsia="Times New Roman" w:hAnsi="Times New Roman" w:cs="Times New Roman"/>
          <w:position w:val="0"/>
        </w:rPr>
        <w:t>3. La educación de las emociones y los sentimientos. La autoestima personal. La igualdad y el respeto mutuo en las relaciones con otras personas</w:t>
      </w:r>
    </w:p>
    <w:p w14:paraId="721ADEE7" w14:textId="77777777" w:rsidR="007F69D1" w:rsidRDefault="007F69D1">
      <w:pPr>
        <w:ind w:left="0" w:hanging="2"/>
      </w:pPr>
    </w:p>
    <w:p w14:paraId="0BE627E0" w14:textId="77777777" w:rsidR="007F69D1" w:rsidRDefault="007F69D1">
      <w:pPr>
        <w:ind w:left="0" w:hanging="2"/>
      </w:pPr>
    </w:p>
    <w:p w14:paraId="17947BD8" w14:textId="77777777" w:rsidR="007F69D1" w:rsidRDefault="007F69D1">
      <w:pPr>
        <w:ind w:left="0" w:hanging="2"/>
      </w:pPr>
    </w:p>
    <w:tbl>
      <w:tblPr>
        <w:tblStyle w:val="afffff7"/>
        <w:tblW w:w="10275"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5"/>
      </w:tblGrid>
      <w:tr w:rsidR="007F69D1" w14:paraId="119C7F8C" w14:textId="77777777">
        <w:trPr>
          <w:cantSplit/>
          <w:trHeight w:val="260"/>
          <w:tblHeader/>
        </w:trPr>
        <w:tc>
          <w:tcPr>
            <w:tcW w:w="10275" w:type="dxa"/>
            <w:tcBorders>
              <w:bottom w:val="single" w:sz="4" w:space="0" w:color="000000"/>
            </w:tcBorders>
            <w:shd w:val="clear" w:color="auto" w:fill="B4A7D6"/>
          </w:tcPr>
          <w:p w14:paraId="365FBB2D" w14:textId="77777777" w:rsidR="007F69D1" w:rsidRDefault="00000000">
            <w:pPr>
              <w:keepNext/>
              <w:pBdr>
                <w:top w:val="nil"/>
                <w:left w:val="nil"/>
                <w:bottom w:val="nil"/>
                <w:right w:val="nil"/>
                <w:between w:val="nil"/>
              </w:pBdr>
              <w:spacing w:line="240" w:lineRule="auto"/>
              <w:ind w:left="1" w:hanging="3"/>
              <w:rPr>
                <w:rFonts w:ascii="Calibri" w:eastAsia="Calibri" w:hAnsi="Calibri" w:cs="Calibri"/>
                <w:b/>
                <w:i/>
                <w:color w:val="000000"/>
                <w:sz w:val="28"/>
                <w:szCs w:val="28"/>
              </w:rPr>
            </w:pPr>
            <w:bookmarkStart w:id="1" w:name="_heading=h.qbbjs2erf22c" w:colFirst="0" w:colLast="0"/>
            <w:bookmarkEnd w:id="1"/>
            <w:r>
              <w:rPr>
                <w:rFonts w:ascii="Courier New" w:eastAsia="Courier New" w:hAnsi="Courier New" w:cs="Courier New"/>
                <w:b/>
                <w:i/>
                <w:color w:val="000000"/>
                <w:sz w:val="28"/>
                <w:szCs w:val="28"/>
                <w:shd w:val="clear" w:color="auto" w:fill="B4A7D6"/>
              </w:rPr>
              <w:t>2</w:t>
            </w:r>
            <w:r>
              <w:rPr>
                <w:rFonts w:ascii="Calibri" w:eastAsia="Calibri" w:hAnsi="Calibri" w:cs="Calibri"/>
                <w:b/>
                <w:i/>
                <w:color w:val="000000"/>
                <w:sz w:val="28"/>
                <w:szCs w:val="28"/>
                <w:shd w:val="clear" w:color="auto" w:fill="B4A7D6"/>
              </w:rPr>
              <w:t xml:space="preserve">. Criterios de promoción y titulación </w:t>
            </w:r>
          </w:p>
        </w:tc>
      </w:tr>
    </w:tbl>
    <w:p w14:paraId="3BD5DB4D" w14:textId="77777777" w:rsidR="007F69D1" w:rsidRDefault="007F69D1">
      <w:pPr>
        <w:spacing w:line="276" w:lineRule="auto"/>
        <w:ind w:left="0" w:hanging="2"/>
        <w:rPr>
          <w:rFonts w:ascii="Courier New" w:eastAsia="Courier New" w:hAnsi="Courier New" w:cs="Courier New"/>
        </w:rPr>
      </w:pPr>
    </w:p>
    <w:p w14:paraId="164AF0B7" w14:textId="77777777" w:rsidR="007F69D1" w:rsidRPr="00F0029B" w:rsidRDefault="00000000">
      <w:pPr>
        <w:keepNext/>
        <w:pBdr>
          <w:top w:val="nil"/>
          <w:left w:val="nil"/>
          <w:bottom w:val="nil"/>
          <w:right w:val="nil"/>
          <w:between w:val="nil"/>
        </w:pBdr>
        <w:spacing w:line="240" w:lineRule="auto"/>
        <w:ind w:left="0" w:hanging="2"/>
        <w:jc w:val="both"/>
        <w:rPr>
          <w:rFonts w:ascii="Times New Roman" w:eastAsia="Calibri" w:hAnsi="Times New Roman" w:cs="Times New Roman"/>
          <w:i/>
          <w:color w:val="000000"/>
        </w:rPr>
      </w:pPr>
      <w:bookmarkStart w:id="2" w:name="_heading=h.167f8fqm9b1p" w:colFirst="0" w:colLast="0"/>
      <w:bookmarkEnd w:id="2"/>
      <w:r w:rsidRPr="00F0029B">
        <w:rPr>
          <w:rFonts w:ascii="Times New Roman" w:eastAsia="Calibri" w:hAnsi="Times New Roman" w:cs="Times New Roman"/>
          <w:color w:val="000000"/>
        </w:rPr>
        <w:t>Se</w:t>
      </w:r>
      <w:r w:rsidRPr="00F0029B">
        <w:rPr>
          <w:rFonts w:ascii="Times New Roman" w:hAnsi="Times New Roman" w:cs="Times New Roman"/>
          <w:i/>
          <w:color w:val="000000"/>
        </w:rPr>
        <w:t xml:space="preserve"> </w:t>
      </w:r>
      <w:r w:rsidRPr="00F0029B">
        <w:rPr>
          <w:rFonts w:ascii="Times New Roman" w:eastAsia="Calibri" w:hAnsi="Times New Roman" w:cs="Times New Roman"/>
          <w:i/>
          <w:color w:val="000000"/>
        </w:rPr>
        <w:t xml:space="preserve">seguirá lo establecido en la normativa y en el Proyecto Educativo del IES Juan de </w:t>
      </w:r>
      <w:proofErr w:type="spellStart"/>
      <w:r w:rsidRPr="00F0029B">
        <w:rPr>
          <w:rFonts w:ascii="Times New Roman" w:eastAsia="Calibri" w:hAnsi="Times New Roman" w:cs="Times New Roman"/>
          <w:i/>
          <w:color w:val="000000"/>
        </w:rPr>
        <w:t>Aréjula</w:t>
      </w:r>
      <w:proofErr w:type="spellEnd"/>
      <w:r w:rsidRPr="00F0029B">
        <w:rPr>
          <w:rFonts w:ascii="Times New Roman" w:eastAsia="Calibri" w:hAnsi="Times New Roman" w:cs="Times New Roman"/>
          <w:i/>
          <w:color w:val="000000"/>
        </w:rPr>
        <w:t>:</w:t>
      </w:r>
    </w:p>
    <w:p w14:paraId="54016ADB" w14:textId="77777777" w:rsidR="007F69D1" w:rsidRPr="00F0029B" w:rsidRDefault="007F69D1">
      <w:pPr>
        <w:ind w:left="0" w:hanging="2"/>
        <w:rPr>
          <w:rFonts w:ascii="Times New Roman" w:hAnsi="Times New Roman" w:cs="Times New Roman"/>
        </w:rPr>
      </w:pPr>
    </w:p>
    <w:p w14:paraId="556D2D3F" w14:textId="77777777" w:rsidR="007F69D1" w:rsidRPr="00F0029B" w:rsidRDefault="00000000">
      <w:pPr>
        <w:ind w:left="0" w:hanging="2"/>
        <w:rPr>
          <w:rFonts w:ascii="Times New Roman" w:eastAsia="Calibri" w:hAnsi="Times New Roman" w:cs="Times New Roman"/>
        </w:rPr>
      </w:pPr>
      <w:r w:rsidRPr="00F0029B">
        <w:rPr>
          <w:rFonts w:ascii="Times New Roman" w:eastAsia="Calibri" w:hAnsi="Times New Roman" w:cs="Times New Roman"/>
        </w:rPr>
        <w:t xml:space="preserve">- </w:t>
      </w:r>
      <w:r w:rsidRPr="00F0029B">
        <w:rPr>
          <w:rFonts w:ascii="Times New Roman" w:eastAsia="Calibri" w:hAnsi="Times New Roman" w:cs="Times New Roman"/>
          <w:b/>
          <w:u w:val="single"/>
        </w:rPr>
        <w:t>PROYECTO EDUCATIVO IES JUAN DE ARÉJULA</w:t>
      </w:r>
      <w:r w:rsidRPr="00F0029B">
        <w:rPr>
          <w:rFonts w:ascii="Times New Roman" w:eastAsia="Calibri" w:hAnsi="Times New Roman" w:cs="Times New Roman"/>
        </w:rPr>
        <w:t xml:space="preserve">: </w:t>
      </w:r>
    </w:p>
    <w:p w14:paraId="586DB3FC" w14:textId="77777777" w:rsidR="007F69D1" w:rsidRPr="00F0029B" w:rsidRDefault="007F69D1">
      <w:pPr>
        <w:ind w:left="0" w:hanging="2"/>
        <w:rPr>
          <w:rFonts w:ascii="Times New Roman" w:eastAsia="Calibri" w:hAnsi="Times New Roman" w:cs="Times New Roman"/>
        </w:rPr>
      </w:pPr>
    </w:p>
    <w:p w14:paraId="039EAC2F" w14:textId="77777777" w:rsidR="007F69D1" w:rsidRPr="00F0029B" w:rsidRDefault="00000000">
      <w:pPr>
        <w:ind w:left="0" w:hanging="2"/>
        <w:rPr>
          <w:rFonts w:ascii="Times New Roman" w:eastAsia="Calibri" w:hAnsi="Times New Roman" w:cs="Times New Roman"/>
        </w:rPr>
      </w:pPr>
      <w:hyperlink r:id="rId8">
        <w:r w:rsidRPr="00F0029B">
          <w:rPr>
            <w:rFonts w:ascii="Times New Roman" w:hAnsi="Times New Roman" w:cs="Times New Roman"/>
            <w:color w:val="0000EE"/>
            <w:u w:val="single"/>
          </w:rPr>
          <w:t>PLAN DE CENTRO 2023.pdf</w:t>
        </w:r>
      </w:hyperlink>
    </w:p>
    <w:p w14:paraId="79402E2F" w14:textId="77777777" w:rsidR="007F69D1" w:rsidRDefault="007F69D1">
      <w:pPr>
        <w:ind w:left="0" w:hanging="2"/>
      </w:pPr>
    </w:p>
    <w:p w14:paraId="3B0AE62E" w14:textId="77777777" w:rsidR="007F69D1" w:rsidRDefault="00000000">
      <w:pPr>
        <w:spacing w:line="276" w:lineRule="auto"/>
        <w:ind w:left="1" w:hanging="3"/>
        <w:rPr>
          <w:sz w:val="22"/>
          <w:szCs w:val="22"/>
        </w:rPr>
      </w:pPr>
      <w:r>
        <w:rPr>
          <w:b/>
          <w:sz w:val="26"/>
          <w:szCs w:val="26"/>
          <w:u w:val="single"/>
        </w:rPr>
        <w:t>ESO</w:t>
      </w:r>
      <w:r>
        <w:rPr>
          <w:sz w:val="22"/>
          <w:szCs w:val="22"/>
        </w:rPr>
        <w:t>:</w:t>
      </w:r>
    </w:p>
    <w:p w14:paraId="2C2D4E0D" w14:textId="77777777" w:rsidR="007F69D1" w:rsidRDefault="00000000">
      <w:pPr>
        <w:spacing w:line="276" w:lineRule="auto"/>
        <w:ind w:left="0" w:hanging="2"/>
        <w:jc w:val="both"/>
        <w:rPr>
          <w:sz w:val="20"/>
          <w:szCs w:val="20"/>
        </w:rPr>
      </w:pPr>
      <w:hyperlink r:id="rId9">
        <w:r>
          <w:rPr>
            <w:color w:val="28AB00"/>
            <w:sz w:val="22"/>
            <w:szCs w:val="22"/>
          </w:rPr>
          <w:t>ORDEN de 30 de mayo de 2023</w:t>
        </w:r>
      </w:hyperlink>
      <w:r>
        <w:rPr>
          <w:color w:val="666666"/>
          <w:sz w:val="22"/>
          <w:szCs w:val="22"/>
          <w:shd w:val="clear" w:color="auto" w:fill="F9FAF9"/>
        </w:rPr>
        <w:t xml:space="preserve">, por la que se desarrolla el currículo correspondiente a la etapa de Educación Secundaria Obligatoria en la Comunidad Autónoma de Andalucía, se regulan determinados aspectos de la atención a la diversidad y a las diferencias individuales, se establece </w:t>
      </w:r>
      <w:r>
        <w:rPr>
          <w:color w:val="666666"/>
          <w:sz w:val="22"/>
          <w:szCs w:val="22"/>
          <w:shd w:val="clear" w:color="auto" w:fill="F9FAF9"/>
        </w:rPr>
        <w:lastRenderedPageBreak/>
        <w:t>la ordenación de la evaluación del proceso de aprendizaje del alumnado y se determina el proceso de tránsito entre las diferentes etapas educativas (BOJA 02-06-2023)</w:t>
      </w:r>
    </w:p>
    <w:p w14:paraId="61180C4E" w14:textId="77777777" w:rsidR="007F69D1" w:rsidRDefault="007F69D1">
      <w:pPr>
        <w:spacing w:line="276" w:lineRule="auto"/>
        <w:ind w:left="0" w:hanging="2"/>
        <w:jc w:val="both"/>
        <w:rPr>
          <w:sz w:val="22"/>
          <w:szCs w:val="22"/>
        </w:rPr>
      </w:pPr>
    </w:p>
    <w:p w14:paraId="719B6B3E" w14:textId="77777777" w:rsidR="007F69D1" w:rsidRDefault="007F69D1">
      <w:pPr>
        <w:spacing w:line="276" w:lineRule="auto"/>
        <w:ind w:left="0" w:hanging="2"/>
        <w:rPr>
          <w:rFonts w:ascii="Courier New" w:eastAsia="Courier New" w:hAnsi="Courier New" w:cs="Courier New"/>
        </w:rPr>
      </w:pPr>
    </w:p>
    <w:p w14:paraId="726E0F20" w14:textId="77777777" w:rsidR="007F69D1" w:rsidRDefault="007F69D1">
      <w:pPr>
        <w:ind w:left="0" w:hanging="2"/>
        <w:rPr>
          <w:rFonts w:ascii="Calibri" w:eastAsia="Calibri" w:hAnsi="Calibri" w:cs="Calibri"/>
          <w:sz w:val="22"/>
          <w:szCs w:val="22"/>
        </w:rPr>
      </w:pPr>
    </w:p>
    <w:tbl>
      <w:tblPr>
        <w:tblStyle w:val="afffff8"/>
        <w:tblW w:w="10326"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26"/>
      </w:tblGrid>
      <w:tr w:rsidR="007F69D1" w14:paraId="5B42CACD" w14:textId="77777777">
        <w:trPr>
          <w:cantSplit/>
          <w:trHeight w:val="260"/>
          <w:tblHeader/>
        </w:trPr>
        <w:tc>
          <w:tcPr>
            <w:tcW w:w="10326" w:type="dxa"/>
            <w:tcBorders>
              <w:bottom w:val="single" w:sz="4" w:space="0" w:color="000000"/>
            </w:tcBorders>
            <w:shd w:val="clear" w:color="auto" w:fill="B4A7D6"/>
          </w:tcPr>
          <w:p w14:paraId="03472428" w14:textId="77777777" w:rsidR="007F69D1" w:rsidRDefault="00000000">
            <w:pPr>
              <w:ind w:left="1" w:hanging="3"/>
              <w:rPr>
                <w:rFonts w:ascii="Calibri" w:eastAsia="Calibri" w:hAnsi="Calibri" w:cs="Calibri"/>
                <w:sz w:val="28"/>
                <w:szCs w:val="28"/>
              </w:rPr>
            </w:pPr>
            <w:r>
              <w:rPr>
                <w:rFonts w:ascii="Calibri" w:eastAsia="Calibri" w:hAnsi="Calibri" w:cs="Calibri"/>
                <w:b/>
                <w:i/>
                <w:sz w:val="28"/>
                <w:szCs w:val="28"/>
                <w:shd w:val="clear" w:color="auto" w:fill="B4A7D6"/>
              </w:rPr>
              <w:t xml:space="preserve">3. Herramientas / Instrumentos de evaluación </w:t>
            </w:r>
          </w:p>
        </w:tc>
      </w:tr>
    </w:tbl>
    <w:p w14:paraId="4C9AEDEE" w14:textId="7BADF121" w:rsidR="005366A5" w:rsidRPr="00F0029B" w:rsidRDefault="00C24767"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bookmarkStart w:id="3" w:name="_heading=h.vjy6i1o9cda0" w:colFirst="0" w:colLast="0"/>
      <w:bookmarkEnd w:id="3"/>
      <w:r w:rsidRPr="00F0029B">
        <w:rPr>
          <w:rFonts w:ascii="Times New Roman" w:eastAsia="Calibri" w:hAnsi="Times New Roman" w:cs="Times New Roman"/>
          <w:color w:val="000000"/>
        </w:rPr>
        <w:t xml:space="preserve">Los </w:t>
      </w:r>
      <w:r w:rsidR="005366A5" w:rsidRPr="00F0029B">
        <w:rPr>
          <w:rFonts w:ascii="Times New Roman" w:eastAsia="Calibri" w:hAnsi="Times New Roman" w:cs="Times New Roman"/>
          <w:color w:val="000000"/>
        </w:rPr>
        <w:t xml:space="preserve">procedimientos de evaluación han de basarse en una observación continuada de la evolución del proceso de aprendizaje de cada alumno o alumna en relación con los criterios de evaluación y el grado de desarrollo de las competencias específicas. </w:t>
      </w:r>
    </w:p>
    <w:p w14:paraId="6EA69581"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r w:rsidRPr="00F0029B">
        <w:rPr>
          <w:rFonts w:ascii="Times New Roman" w:eastAsia="Calibri" w:hAnsi="Times New Roman" w:cs="Times New Roman"/>
          <w:color w:val="000000"/>
        </w:rPr>
        <w:t xml:space="preserve">Durante todo el curso, el alumnado elaborará una serie de productos, que son todo aquello que realizará a lo largo del proceso de aprendizaje. Tienen un carácter competencial y son funcionales porque hacen observable lo aprendido. </w:t>
      </w:r>
    </w:p>
    <w:p w14:paraId="07C27219"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r w:rsidRPr="00F0029B">
        <w:rPr>
          <w:rFonts w:ascii="Times New Roman" w:eastAsia="Calibri" w:hAnsi="Times New Roman" w:cs="Times New Roman"/>
          <w:color w:val="000000"/>
        </w:rPr>
        <w:t xml:space="preserve">Se definirán los instrumentos de evaluación como aquellos productos que se seleccionan para hacer evidente la adquisición de los aprendizajes descritos en los criterios de evaluación y el de sus respectivas competencias. </w:t>
      </w:r>
    </w:p>
    <w:p w14:paraId="499FE2DA"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lang w:val="es-ES_tradnl"/>
        </w:rPr>
      </w:pPr>
      <w:r w:rsidRPr="00F0029B">
        <w:rPr>
          <w:rFonts w:ascii="Times New Roman" w:eastAsia="Calibri" w:hAnsi="Times New Roman" w:cs="Times New Roman"/>
          <w:color w:val="000000"/>
          <w:lang w:val="es-ES_tradnl"/>
        </w:rPr>
        <w:t>Los instrumentos de evaluación constituyen una herramienta indispensable para determinar el grado de consecución de las competencias. Su naturaleza será, preferentemente, observacional y variada. Se adaptará a cada situación de aprendizaje para asegurar la evaluación objetiva del alumnado. Entre ellos debemos destacar el uso de la observación directa, cumplimentación de formularios, presentaciones, exposiciones orales, edición de documentos, pruebas, escalas de observación, rúbricas o portfolios, cuaderno del alumno o alumna, la producción en trabajo grupal o individual, entre otros, ajustados a los criterios de evaluación y a las características específicas del alumnado. Se fomentarán los procesos de coevaluación y autoevaluación del alumnado, presentes en cada situación de aprendizaje.</w:t>
      </w:r>
    </w:p>
    <w:p w14:paraId="15CEA0C3"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r w:rsidRPr="00F0029B">
        <w:rPr>
          <w:rFonts w:ascii="Times New Roman" w:eastAsia="Calibri" w:hAnsi="Times New Roman" w:cs="Times New Roman"/>
          <w:color w:val="000000"/>
        </w:rPr>
        <w:t>A lo largo del curso, se seleccionarán distintos instrumentos de evaluación. La elección de cada uno de estos instrumentos aparecerá concretada en las situaciones de aprendizaje que se programen.</w:t>
      </w:r>
    </w:p>
    <w:p w14:paraId="32FA0AF8"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p>
    <w:p w14:paraId="3D83936D"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b/>
          <w:color w:val="000000"/>
        </w:rPr>
      </w:pPr>
      <w:bookmarkStart w:id="4" w:name="_heading=h.dy889o932igd"/>
      <w:bookmarkEnd w:id="4"/>
      <w:r w:rsidRPr="00F0029B">
        <w:rPr>
          <w:rFonts w:ascii="Times New Roman" w:eastAsia="Calibri" w:hAnsi="Times New Roman" w:cs="Times New Roman"/>
          <w:b/>
          <w:color w:val="000000"/>
        </w:rPr>
        <w:t>11.3. Calificación del aprendizaje del alumnado.</w:t>
      </w:r>
    </w:p>
    <w:p w14:paraId="7BBB9370"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p>
    <w:p w14:paraId="66141D88"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r w:rsidRPr="00F0029B">
        <w:rPr>
          <w:rFonts w:ascii="Times New Roman" w:eastAsia="Calibri" w:hAnsi="Times New Roman" w:cs="Times New Roman"/>
          <w:color w:val="000000"/>
        </w:rPr>
        <w:t>-Con el objetivo de medir el grado de consecución de los criterios de evaluación se elaborarán distintas rúbricas con los indicadores de logro que permitan conocer el grado de desempeño de cada criterio.  Estos se ajustarán a las graduaciones de insuficiente (del 1 al 4,9), suficiente (del 5 al 6,9), bien (entre el 6 y el 7.9), notable (entre el 7 y el 8,9) y sobresaliente (entre el 9 y el 10). En cada una de las situaciones de aprendizaje o unidades temporales de programación aparecerán los criterios de evaluación con su correspondiente rúbrica (que ya hemos señalado con anterioridad en el apartado correspondiente).</w:t>
      </w:r>
    </w:p>
    <w:p w14:paraId="2CBDCF56"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p>
    <w:p w14:paraId="08C7E36C"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r w:rsidRPr="00F0029B">
        <w:rPr>
          <w:rFonts w:ascii="Times New Roman" w:eastAsia="Calibri" w:hAnsi="Times New Roman" w:cs="Times New Roman"/>
          <w:color w:val="000000"/>
        </w:rPr>
        <w:t>-En cuanto a los criterios específicos de corrección y valoración se tendrá en cuenta el conocimiento de los saberes básicos, el análisis adecuado y la correcta ubicación espacial y temporal de hechos y personajes, la riqueza y corrección de la terminología y el vocabulario empleados, y la exposición correcta, ordenada y clara de los contenidos. Ha de apreciarse la expresión escrita del alumnado a la hora de calificarla, de tal manera que la nota evalúe lo que el alumno escribe o expresa, no lo que parece que quiso decir o escribir.</w:t>
      </w:r>
    </w:p>
    <w:p w14:paraId="776C5D27"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p>
    <w:p w14:paraId="133EA6D8"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r w:rsidRPr="00F0029B">
        <w:rPr>
          <w:rFonts w:ascii="Times New Roman" w:eastAsia="Calibri" w:hAnsi="Times New Roman" w:cs="Times New Roman"/>
          <w:color w:val="000000"/>
        </w:rPr>
        <w:t>-Si se produce una falta de asistencia el día en que está fijada una prueba escrita, esta solo se repetirá si está debidamente justificada.</w:t>
      </w:r>
    </w:p>
    <w:p w14:paraId="659361BE"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p>
    <w:p w14:paraId="6219957B"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r w:rsidRPr="00F0029B">
        <w:rPr>
          <w:rFonts w:ascii="Times New Roman" w:eastAsia="Calibri" w:hAnsi="Times New Roman" w:cs="Times New Roman"/>
          <w:color w:val="000000"/>
        </w:rPr>
        <w:t xml:space="preserve">-Para la recuperación de cada evaluación pendiente se realizará una prueba escrita, que tendrá la misma estructura y versará sobre los mismos contenidos de las pruebas ya realizadas. Para aquellos alumnos </w:t>
      </w:r>
      <w:r w:rsidRPr="00F0029B">
        <w:rPr>
          <w:rFonts w:ascii="Times New Roman" w:eastAsia="Calibri" w:hAnsi="Times New Roman" w:cs="Times New Roman"/>
          <w:color w:val="000000"/>
        </w:rPr>
        <w:lastRenderedPageBreak/>
        <w:t>que no la superen, y por tanto no hayan alcanzado suficientemente los objetivos, saberes básicos, criterios de evaluación y competencias fijados, se realizará una prueba escrita al final de curso que tendrá como base la misma estructura y los mismos criterios de corrección antes señalados. Esta última prueba en ningún caso tendrá el carácter de global, sino que entra en el proceso de evaluación continua y de aprendizaje del alumnado, y por tanto no tiene un valor determinante ni decisivo en el aprobado o suspenso final de un alumno durante el curso escolar. Solo tendrá un valor orientativo.</w:t>
      </w:r>
    </w:p>
    <w:p w14:paraId="0A887943" w14:textId="77777777" w:rsidR="005366A5"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color w:val="000000"/>
        </w:rPr>
      </w:pPr>
    </w:p>
    <w:p w14:paraId="208A0E74" w14:textId="3864BF9C" w:rsidR="007F69D1" w:rsidRPr="00F0029B" w:rsidRDefault="005366A5" w:rsidP="00F0029B">
      <w:pPr>
        <w:keepNext/>
        <w:pBdr>
          <w:top w:val="nil"/>
          <w:left w:val="nil"/>
          <w:bottom w:val="nil"/>
          <w:right w:val="nil"/>
          <w:between w:val="nil"/>
        </w:pBdr>
        <w:spacing w:line="240" w:lineRule="auto"/>
        <w:ind w:left="0" w:hanging="2"/>
        <w:jc w:val="both"/>
        <w:rPr>
          <w:rFonts w:ascii="Times New Roman" w:eastAsia="Calibri" w:hAnsi="Times New Roman" w:cs="Times New Roman"/>
          <w:b/>
          <w:i/>
          <w:color w:val="000000"/>
          <w:u w:val="single"/>
        </w:rPr>
      </w:pPr>
      <w:r w:rsidRPr="00F0029B">
        <w:rPr>
          <w:rFonts w:ascii="Times New Roman" w:eastAsia="Calibri" w:hAnsi="Times New Roman" w:cs="Times New Roman"/>
          <w:color w:val="000000"/>
        </w:rPr>
        <w:t xml:space="preserve">-En el caso de que se tengan pruebas fehacientes de que un alumno ha copiado en alguna prueba, se le podrá exigir una segunda prueba para corroborar que su proceso de aprendizaje y sus conocimientos de la materia son los adecuados.   </w:t>
      </w:r>
    </w:p>
    <w:sectPr w:rsidR="007F69D1" w:rsidRPr="00F0029B">
      <w:headerReference w:type="even" r:id="rId10"/>
      <w:headerReference w:type="default" r:id="rId11"/>
      <w:footerReference w:type="even" r:id="rId12"/>
      <w:footerReference w:type="default" r:id="rId13"/>
      <w:headerReference w:type="first" r:id="rId14"/>
      <w:footerReference w:type="first" r:id="rId15"/>
      <w:pgSz w:w="11906" w:h="16838"/>
      <w:pgMar w:top="1077" w:right="1106" w:bottom="1077" w:left="1077" w:header="709" w:footer="1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5873" w14:textId="77777777" w:rsidR="008875F1" w:rsidRDefault="008875F1">
      <w:pPr>
        <w:spacing w:line="240" w:lineRule="auto"/>
        <w:ind w:left="0" w:hanging="2"/>
      </w:pPr>
      <w:r>
        <w:separator/>
      </w:r>
    </w:p>
  </w:endnote>
  <w:endnote w:type="continuationSeparator" w:id="0">
    <w:p w14:paraId="72A4D493" w14:textId="77777777" w:rsidR="008875F1" w:rsidRDefault="008875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F6FF" w14:textId="77777777" w:rsidR="007F69D1" w:rsidRDefault="007F69D1">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FB88" w14:textId="77777777" w:rsidR="007F69D1" w:rsidRDefault="007F69D1">
    <w:pPr>
      <w:widowControl w:val="0"/>
      <w:pBdr>
        <w:top w:val="nil"/>
        <w:left w:val="nil"/>
        <w:bottom w:val="nil"/>
        <w:right w:val="nil"/>
        <w:between w:val="nil"/>
      </w:pBdr>
      <w:spacing w:line="276" w:lineRule="auto"/>
      <w:ind w:left="0" w:hanging="2"/>
      <w:rPr>
        <w:rFonts w:ascii="Eras Medium ITC" w:eastAsia="Eras Medium ITC" w:hAnsi="Eras Medium ITC" w:cs="Eras Medium ITC"/>
        <w:color w:val="5F497A"/>
      </w:rPr>
    </w:pPr>
  </w:p>
  <w:tbl>
    <w:tblPr>
      <w:tblStyle w:val="afffff9"/>
      <w:tblW w:w="9860" w:type="dxa"/>
      <w:tblInd w:w="-1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860"/>
    </w:tblGrid>
    <w:tr w:rsidR="007F69D1" w14:paraId="1C878353" w14:textId="77777777">
      <w:trPr>
        <w:cantSplit/>
        <w:tblHeader/>
      </w:trPr>
      <w:tc>
        <w:tcPr>
          <w:tcW w:w="9860" w:type="dxa"/>
        </w:tcPr>
        <w:p w14:paraId="669C7D80" w14:textId="77777777" w:rsidR="007F69D1" w:rsidRDefault="00000000">
          <w:pPr>
            <w:pBdr>
              <w:top w:val="nil"/>
              <w:left w:val="nil"/>
              <w:bottom w:val="nil"/>
              <w:right w:val="nil"/>
              <w:between w:val="nil"/>
            </w:pBdr>
            <w:tabs>
              <w:tab w:val="center" w:pos="4252"/>
              <w:tab w:val="right" w:pos="8504"/>
            </w:tabs>
            <w:spacing w:line="240" w:lineRule="auto"/>
            <w:ind w:left="0" w:hanging="2"/>
            <w:rPr>
              <w:color w:val="000000"/>
              <w:sz w:val="18"/>
              <w:szCs w:val="18"/>
            </w:rPr>
          </w:pPr>
          <w:r>
            <w:rPr>
              <w:color w:val="000000"/>
              <w:sz w:val="18"/>
              <w:szCs w:val="18"/>
            </w:rPr>
            <w:t xml:space="preserve">Destino del documento: Página web </w:t>
          </w:r>
        </w:p>
      </w:tc>
    </w:tr>
  </w:tbl>
  <w:p w14:paraId="15C5C93E" w14:textId="77777777" w:rsidR="007F69D1" w:rsidRDefault="007F69D1">
    <w:pPr>
      <w:pBdr>
        <w:top w:val="nil"/>
        <w:left w:val="nil"/>
        <w:bottom w:val="nil"/>
        <w:right w:val="nil"/>
        <w:between w:val="nil"/>
      </w:pBdr>
      <w:tabs>
        <w:tab w:val="center" w:pos="4252"/>
        <w:tab w:val="right" w:pos="8504"/>
      </w:tabs>
      <w:spacing w:line="240" w:lineRule="auto"/>
      <w:ind w:left="0" w:hanging="2"/>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8018" w14:textId="77777777" w:rsidR="007F69D1" w:rsidRDefault="007F69D1">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F0C6E" w14:textId="77777777" w:rsidR="008875F1" w:rsidRDefault="008875F1">
      <w:pPr>
        <w:spacing w:line="240" w:lineRule="auto"/>
        <w:ind w:left="0" w:hanging="2"/>
      </w:pPr>
      <w:r>
        <w:separator/>
      </w:r>
    </w:p>
  </w:footnote>
  <w:footnote w:type="continuationSeparator" w:id="0">
    <w:p w14:paraId="29DD4E8A" w14:textId="77777777" w:rsidR="008875F1" w:rsidRDefault="008875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597A" w14:textId="77777777" w:rsidR="007F69D1" w:rsidRDefault="007F69D1">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6578" w14:textId="77777777" w:rsidR="007F69D1" w:rsidRDefault="00000000">
    <w:pPr>
      <w:pBdr>
        <w:top w:val="nil"/>
        <w:left w:val="nil"/>
        <w:bottom w:val="nil"/>
        <w:right w:val="nil"/>
        <w:between w:val="nil"/>
      </w:pBdr>
      <w:tabs>
        <w:tab w:val="center" w:pos="4252"/>
        <w:tab w:val="right" w:pos="8504"/>
      </w:tabs>
      <w:spacing w:line="240" w:lineRule="auto"/>
      <w:ind w:left="0" w:hanging="2"/>
      <w:jc w:val="right"/>
      <w:rPr>
        <w:color w:val="000000"/>
      </w:rPr>
    </w:pPr>
    <w:r>
      <w:rPr>
        <w:noProof/>
      </w:rPr>
      <w:drawing>
        <wp:inline distT="114300" distB="114300" distL="114300" distR="114300" wp14:anchorId="6E30E39E" wp14:editId="64990654">
          <wp:extent cx="6173795" cy="698500"/>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73795" cy="698500"/>
                  </a:xfrm>
                  <a:prstGeom prst="rect">
                    <a:avLst/>
                  </a:prstGeom>
                  <a:ln/>
                </pic:spPr>
              </pic:pic>
            </a:graphicData>
          </a:graphic>
        </wp:inline>
      </w:drawing>
    </w:r>
  </w:p>
  <w:p w14:paraId="44836DC8" w14:textId="77777777" w:rsidR="007F69D1" w:rsidRDefault="007F69D1">
    <w:pPr>
      <w:pBdr>
        <w:top w:val="nil"/>
        <w:left w:val="nil"/>
        <w:bottom w:val="nil"/>
        <w:right w:val="nil"/>
        <w:between w:val="nil"/>
      </w:pBdr>
      <w:tabs>
        <w:tab w:val="center" w:pos="4252"/>
        <w:tab w:val="right" w:pos="8504"/>
      </w:tabs>
      <w:spacing w:line="240" w:lineRule="auto"/>
      <w:ind w:left="0" w:hanging="2"/>
      <w:rPr>
        <w:rFonts w:ascii="Courier New" w:eastAsia="Courier New" w:hAnsi="Courier New" w:cs="Courier New"/>
        <w:b/>
        <w:color w:val="674EA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9AF7" w14:textId="77777777" w:rsidR="007F69D1" w:rsidRDefault="007F69D1">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D1594"/>
    <w:multiLevelType w:val="multilevel"/>
    <w:tmpl w:val="E348E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CC4CFA"/>
    <w:multiLevelType w:val="multilevel"/>
    <w:tmpl w:val="92B811BC"/>
    <w:lvl w:ilvl="0">
      <w:start w:val="1"/>
      <w:numFmt w:val="bullet"/>
      <w:lvlText w:val="●"/>
      <w:lvlJc w:val="left"/>
      <w:pPr>
        <w:ind w:left="720" w:hanging="360"/>
      </w:pPr>
      <w:rPr>
        <w:rFonts w:ascii="Arial" w:eastAsia="Arial" w:hAnsi="Arial" w:cs="Arial"/>
        <w:color w:val="666666"/>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8597840">
    <w:abstractNumId w:val="1"/>
  </w:num>
  <w:num w:numId="2" w16cid:durableId="45109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D1"/>
    <w:rsid w:val="00182507"/>
    <w:rsid w:val="005366A5"/>
    <w:rsid w:val="00615088"/>
    <w:rsid w:val="00617C2C"/>
    <w:rsid w:val="007F69D1"/>
    <w:rsid w:val="008875F1"/>
    <w:rsid w:val="00C24767"/>
    <w:rsid w:val="00F0029B"/>
    <w:rsid w:val="00FA5A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BFD5"/>
  <w15:docId w15:val="{E86C5191-BEE4-432C-8407-FDF17F5D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ES" w:eastAsia="es-E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F7"/>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rsid w:val="009902F7"/>
    <w:pPr>
      <w:keepNext/>
      <w:jc w:val="center"/>
    </w:pPr>
    <w:rPr>
      <w:b/>
      <w:bCs/>
      <w:i/>
      <w:iCs/>
      <w:sz w:val="20"/>
    </w:rPr>
  </w:style>
  <w:style w:type="paragraph" w:styleId="Ttulo2">
    <w:name w:val="heading 2"/>
    <w:basedOn w:val="Normal"/>
    <w:next w:val="Normal"/>
    <w:uiPriority w:val="9"/>
    <w:semiHidden/>
    <w:unhideWhenUsed/>
    <w:qFormat/>
    <w:rsid w:val="009902F7"/>
    <w:pPr>
      <w:keepNext/>
      <w:jc w:val="center"/>
      <w:outlineLvl w:val="1"/>
    </w:pPr>
    <w:rPr>
      <w:b/>
      <w:bCs/>
    </w:rPr>
  </w:style>
  <w:style w:type="paragraph" w:styleId="Ttulo3">
    <w:name w:val="heading 3"/>
    <w:basedOn w:val="Normal"/>
    <w:next w:val="Normal"/>
    <w:uiPriority w:val="9"/>
    <w:semiHidden/>
    <w:unhideWhenUsed/>
    <w:qFormat/>
    <w:rsid w:val="009902F7"/>
    <w:pPr>
      <w:keepNext/>
      <w:jc w:val="center"/>
      <w:outlineLvl w:val="2"/>
    </w:pPr>
    <w:rPr>
      <w:b/>
      <w:bCs/>
      <w:sz w:val="18"/>
    </w:rPr>
  </w:style>
  <w:style w:type="paragraph" w:styleId="Ttulo4">
    <w:name w:val="heading 4"/>
    <w:basedOn w:val="Normal"/>
    <w:next w:val="Normal"/>
    <w:uiPriority w:val="9"/>
    <w:semiHidden/>
    <w:unhideWhenUsed/>
    <w:qFormat/>
    <w:rsid w:val="009902F7"/>
    <w:pPr>
      <w:keepNext/>
      <w:outlineLvl w:val="3"/>
    </w:pPr>
    <w:rPr>
      <w:b/>
      <w:bCs/>
    </w:rPr>
  </w:style>
  <w:style w:type="paragraph" w:styleId="Ttulo5">
    <w:name w:val="heading 5"/>
    <w:basedOn w:val="Normal"/>
    <w:next w:val="Normal"/>
    <w:uiPriority w:val="9"/>
    <w:semiHidden/>
    <w:unhideWhenUsed/>
    <w:qFormat/>
    <w:rsid w:val="009902F7"/>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9902F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9902F7"/>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9902F7"/>
  </w:style>
  <w:style w:type="table" w:customStyle="1" w:styleId="TableNormal1">
    <w:name w:val="Table Normal"/>
    <w:rsid w:val="009902F7"/>
    <w:tblPr>
      <w:tblCellMar>
        <w:top w:w="0" w:type="dxa"/>
        <w:left w:w="0" w:type="dxa"/>
        <w:bottom w:w="0" w:type="dxa"/>
        <w:right w:w="0" w:type="dxa"/>
      </w:tblCellMar>
    </w:tblPr>
  </w:style>
  <w:style w:type="table" w:customStyle="1" w:styleId="TableNormal2">
    <w:name w:val="Table Normal"/>
    <w:rsid w:val="009902F7"/>
    <w:tblPr>
      <w:tblCellMar>
        <w:top w:w="0" w:type="dxa"/>
        <w:left w:w="0" w:type="dxa"/>
        <w:bottom w:w="0" w:type="dxa"/>
        <w:right w:w="0" w:type="dxa"/>
      </w:tblCellMar>
    </w:tblPr>
  </w:style>
  <w:style w:type="table" w:customStyle="1" w:styleId="TableNormal3">
    <w:name w:val="Table Normal"/>
    <w:rsid w:val="009902F7"/>
    <w:tblPr>
      <w:tblCellMar>
        <w:top w:w="0" w:type="dxa"/>
        <w:left w:w="0" w:type="dxa"/>
        <w:bottom w:w="0" w:type="dxa"/>
        <w:right w:w="0" w:type="dxa"/>
      </w:tblCellMar>
    </w:tblPr>
  </w:style>
  <w:style w:type="paragraph" w:styleId="Encabezado">
    <w:name w:val="header"/>
    <w:basedOn w:val="Normal"/>
    <w:rsid w:val="009902F7"/>
    <w:pPr>
      <w:tabs>
        <w:tab w:val="center" w:pos="4252"/>
        <w:tab w:val="right" w:pos="8504"/>
      </w:tabs>
    </w:pPr>
  </w:style>
  <w:style w:type="paragraph" w:styleId="Piedepgina">
    <w:name w:val="footer"/>
    <w:basedOn w:val="Normal"/>
    <w:rsid w:val="009902F7"/>
    <w:pPr>
      <w:tabs>
        <w:tab w:val="center" w:pos="4252"/>
        <w:tab w:val="right" w:pos="8504"/>
      </w:tabs>
    </w:pPr>
  </w:style>
  <w:style w:type="paragraph" w:customStyle="1" w:styleId="Normalconnumeracin">
    <w:name w:val="Normal con numeración"/>
    <w:basedOn w:val="Normal"/>
    <w:rsid w:val="009902F7"/>
    <w:pPr>
      <w:jc w:val="both"/>
    </w:pPr>
    <w:rPr>
      <w:rFonts w:ascii="Comic Sans MS" w:hAnsi="Comic Sans MS"/>
    </w:rPr>
  </w:style>
  <w:style w:type="character" w:customStyle="1" w:styleId="EncabezadoCar">
    <w:name w:val="Encabezado Car"/>
    <w:basedOn w:val="Fuentedeprrafopredeter"/>
    <w:rsid w:val="009902F7"/>
    <w:rPr>
      <w:rFonts w:ascii="Arial" w:hAnsi="Arial"/>
      <w:w w:val="100"/>
      <w:position w:val="-1"/>
      <w:sz w:val="24"/>
      <w:szCs w:val="24"/>
      <w:effect w:val="none"/>
      <w:vertAlign w:val="baseline"/>
      <w:cs w:val="0"/>
      <w:em w:val="none"/>
    </w:rPr>
  </w:style>
  <w:style w:type="paragraph" w:styleId="Textodeglobo">
    <w:name w:val="Balloon Text"/>
    <w:basedOn w:val="Normal"/>
    <w:rsid w:val="009902F7"/>
    <w:rPr>
      <w:rFonts w:ascii="Tahoma" w:hAnsi="Tahoma" w:cs="Tahoma"/>
      <w:sz w:val="16"/>
      <w:szCs w:val="16"/>
    </w:rPr>
  </w:style>
  <w:style w:type="character" w:customStyle="1" w:styleId="TextodegloboCar">
    <w:name w:val="Texto de globo Car"/>
    <w:basedOn w:val="Fuentedeprrafopredeter"/>
    <w:rsid w:val="009902F7"/>
    <w:rPr>
      <w:rFonts w:ascii="Tahoma" w:hAnsi="Tahoma" w:cs="Tahoma"/>
      <w:w w:val="100"/>
      <w:position w:val="-1"/>
      <w:sz w:val="16"/>
      <w:szCs w:val="16"/>
      <w:effect w:val="none"/>
      <w:vertAlign w:val="baseline"/>
      <w:cs w:val="0"/>
      <w:em w:val="none"/>
    </w:rPr>
  </w:style>
  <w:style w:type="paragraph" w:customStyle="1" w:styleId="Default">
    <w:name w:val="Default"/>
    <w:rsid w:val="009902F7"/>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rsid w:val="009902F7"/>
    <w:tblPr>
      <w:tblStyleRowBandSize w:val="1"/>
      <w:tblStyleColBandSize w:val="1"/>
      <w:tblCellMar>
        <w:left w:w="70" w:type="dxa"/>
        <w:right w:w="70" w:type="dxa"/>
      </w:tblCellMar>
    </w:tblPr>
  </w:style>
  <w:style w:type="table" w:customStyle="1" w:styleId="a0">
    <w:basedOn w:val="TableNormal3"/>
    <w:rsid w:val="009902F7"/>
    <w:tblPr>
      <w:tblStyleRowBandSize w:val="1"/>
      <w:tblStyleColBandSize w:val="1"/>
      <w:tblCellMar>
        <w:left w:w="70" w:type="dxa"/>
        <w:right w:w="70" w:type="dxa"/>
      </w:tblCellMar>
    </w:tblPr>
  </w:style>
  <w:style w:type="table" w:customStyle="1" w:styleId="a1">
    <w:basedOn w:val="TableNormal3"/>
    <w:rsid w:val="009902F7"/>
    <w:tblPr>
      <w:tblStyleRowBandSize w:val="1"/>
      <w:tblStyleColBandSize w:val="1"/>
      <w:tblCellMar>
        <w:left w:w="70" w:type="dxa"/>
        <w:right w:w="70" w:type="dxa"/>
      </w:tblCellMar>
    </w:tblPr>
  </w:style>
  <w:style w:type="table" w:customStyle="1" w:styleId="a2">
    <w:basedOn w:val="TableNormal3"/>
    <w:rsid w:val="009902F7"/>
    <w:tblPr>
      <w:tblStyleRowBandSize w:val="1"/>
      <w:tblStyleColBandSize w:val="1"/>
      <w:tblCellMar>
        <w:left w:w="70" w:type="dxa"/>
        <w:right w:w="70" w:type="dxa"/>
      </w:tblCellMar>
    </w:tblPr>
  </w:style>
  <w:style w:type="table" w:customStyle="1" w:styleId="a3">
    <w:basedOn w:val="TableNormal3"/>
    <w:rsid w:val="009902F7"/>
    <w:tblPr>
      <w:tblStyleRowBandSize w:val="1"/>
      <w:tblStyleColBandSize w:val="1"/>
      <w:tblCellMar>
        <w:left w:w="70" w:type="dxa"/>
        <w:right w:w="70" w:type="dxa"/>
      </w:tblCellMar>
    </w:tblPr>
  </w:style>
  <w:style w:type="table" w:customStyle="1" w:styleId="a4">
    <w:basedOn w:val="TableNormal3"/>
    <w:rsid w:val="009902F7"/>
    <w:tblPr>
      <w:tblStyleRowBandSize w:val="1"/>
      <w:tblStyleColBandSize w:val="1"/>
      <w:tblCellMar>
        <w:left w:w="70" w:type="dxa"/>
        <w:right w:w="70" w:type="dxa"/>
      </w:tblCellMar>
    </w:tblPr>
  </w:style>
  <w:style w:type="table" w:customStyle="1" w:styleId="a5">
    <w:basedOn w:val="TableNormal3"/>
    <w:rsid w:val="009902F7"/>
    <w:tblPr>
      <w:tblStyleRowBandSize w:val="1"/>
      <w:tblStyleColBandSize w:val="1"/>
      <w:tblCellMar>
        <w:left w:w="70" w:type="dxa"/>
        <w:right w:w="70" w:type="dxa"/>
      </w:tblCellMar>
    </w:tblPr>
  </w:style>
  <w:style w:type="table" w:customStyle="1" w:styleId="a6">
    <w:basedOn w:val="TableNormal3"/>
    <w:rsid w:val="009902F7"/>
    <w:tblPr>
      <w:tblStyleRowBandSize w:val="1"/>
      <w:tblStyleColBandSize w:val="1"/>
      <w:tblCellMar>
        <w:left w:w="70" w:type="dxa"/>
        <w:right w:w="70" w:type="dxa"/>
      </w:tblCellMar>
    </w:tblPr>
  </w:style>
  <w:style w:type="table" w:customStyle="1" w:styleId="a7">
    <w:basedOn w:val="TableNormal3"/>
    <w:rsid w:val="009902F7"/>
    <w:tblPr>
      <w:tblStyleRowBandSize w:val="1"/>
      <w:tblStyleColBandSize w:val="1"/>
      <w:tblCellMar>
        <w:left w:w="70" w:type="dxa"/>
        <w:right w:w="70" w:type="dxa"/>
      </w:tblCellMar>
    </w:tblPr>
  </w:style>
  <w:style w:type="table" w:customStyle="1" w:styleId="a8">
    <w:basedOn w:val="TableNormal3"/>
    <w:rsid w:val="009902F7"/>
    <w:tblPr>
      <w:tblStyleRowBandSize w:val="1"/>
      <w:tblStyleColBandSize w:val="1"/>
      <w:tblCellMar>
        <w:left w:w="70" w:type="dxa"/>
        <w:right w:w="70" w:type="dxa"/>
      </w:tblCellMar>
    </w:tblPr>
  </w:style>
  <w:style w:type="table" w:customStyle="1" w:styleId="a9">
    <w:basedOn w:val="TableNormal3"/>
    <w:rsid w:val="009902F7"/>
    <w:tblPr>
      <w:tblStyleRowBandSize w:val="1"/>
      <w:tblStyleColBandSize w:val="1"/>
      <w:tblCellMar>
        <w:left w:w="70" w:type="dxa"/>
        <w:right w:w="70" w:type="dxa"/>
      </w:tblCellMar>
    </w:tblPr>
  </w:style>
  <w:style w:type="table" w:customStyle="1" w:styleId="aa">
    <w:basedOn w:val="TableNormal3"/>
    <w:rsid w:val="009902F7"/>
    <w:tblPr>
      <w:tblStyleRowBandSize w:val="1"/>
      <w:tblStyleColBandSize w:val="1"/>
      <w:tblCellMar>
        <w:left w:w="70" w:type="dxa"/>
        <w:right w:w="70" w:type="dxa"/>
      </w:tblCellMar>
    </w:tblPr>
  </w:style>
  <w:style w:type="table" w:customStyle="1" w:styleId="ab">
    <w:basedOn w:val="TableNormal3"/>
    <w:rsid w:val="009902F7"/>
    <w:tblPr>
      <w:tblStyleRowBandSize w:val="1"/>
      <w:tblStyleColBandSize w:val="1"/>
      <w:tblCellMar>
        <w:left w:w="70" w:type="dxa"/>
        <w:right w:w="70" w:type="dxa"/>
      </w:tblCellMar>
    </w:tblPr>
  </w:style>
  <w:style w:type="table" w:customStyle="1" w:styleId="ac">
    <w:basedOn w:val="TableNormal3"/>
    <w:rsid w:val="009902F7"/>
    <w:tblPr>
      <w:tblStyleRowBandSize w:val="1"/>
      <w:tblStyleColBandSize w:val="1"/>
      <w:tblCellMar>
        <w:left w:w="70" w:type="dxa"/>
        <w:right w:w="70" w:type="dxa"/>
      </w:tblCellMar>
    </w:tblPr>
  </w:style>
  <w:style w:type="table" w:customStyle="1" w:styleId="ad">
    <w:basedOn w:val="TableNormal3"/>
    <w:rsid w:val="009902F7"/>
    <w:tblPr>
      <w:tblStyleRowBandSize w:val="1"/>
      <w:tblStyleColBandSize w:val="1"/>
      <w:tblCellMar>
        <w:left w:w="70" w:type="dxa"/>
        <w:right w:w="70" w:type="dxa"/>
      </w:tblCellMar>
    </w:tblPr>
  </w:style>
  <w:style w:type="table" w:customStyle="1" w:styleId="ae">
    <w:basedOn w:val="TableNormal3"/>
    <w:rsid w:val="009902F7"/>
    <w:tblPr>
      <w:tblStyleRowBandSize w:val="1"/>
      <w:tblStyleColBandSize w:val="1"/>
      <w:tblCellMar>
        <w:left w:w="70" w:type="dxa"/>
        <w:right w:w="70" w:type="dxa"/>
      </w:tblCellMar>
    </w:tblPr>
  </w:style>
  <w:style w:type="table" w:customStyle="1" w:styleId="af">
    <w:basedOn w:val="TableNormal3"/>
    <w:rsid w:val="009902F7"/>
    <w:tblPr>
      <w:tblStyleRowBandSize w:val="1"/>
      <w:tblStyleColBandSize w:val="1"/>
      <w:tblCellMar>
        <w:left w:w="70" w:type="dxa"/>
        <w:right w:w="70" w:type="dxa"/>
      </w:tblCellMar>
    </w:tblPr>
  </w:style>
  <w:style w:type="table" w:customStyle="1" w:styleId="af0">
    <w:basedOn w:val="TableNormal3"/>
    <w:rsid w:val="009902F7"/>
    <w:tblPr>
      <w:tblStyleRowBandSize w:val="1"/>
      <w:tblStyleColBandSize w:val="1"/>
      <w:tblCellMar>
        <w:left w:w="70" w:type="dxa"/>
        <w:right w:w="70" w:type="dxa"/>
      </w:tblCellMar>
    </w:tblPr>
  </w:style>
  <w:style w:type="table" w:customStyle="1" w:styleId="af1">
    <w:basedOn w:val="TableNormal3"/>
    <w:rsid w:val="009902F7"/>
    <w:tblPr>
      <w:tblStyleRowBandSize w:val="1"/>
      <w:tblStyleColBandSize w:val="1"/>
      <w:tblCellMar>
        <w:left w:w="70" w:type="dxa"/>
        <w:right w:w="70" w:type="dxa"/>
      </w:tblCellMar>
    </w:tblPr>
  </w:style>
  <w:style w:type="table" w:customStyle="1" w:styleId="af2">
    <w:basedOn w:val="TableNormal3"/>
    <w:rsid w:val="009902F7"/>
    <w:tblPr>
      <w:tblStyleRowBandSize w:val="1"/>
      <w:tblStyleColBandSize w:val="1"/>
      <w:tblCellMar>
        <w:left w:w="70" w:type="dxa"/>
        <w:right w:w="70" w:type="dxa"/>
      </w:tblCellMar>
    </w:tblPr>
  </w:style>
  <w:style w:type="table" w:customStyle="1" w:styleId="af3">
    <w:basedOn w:val="TableNormal3"/>
    <w:rsid w:val="009902F7"/>
    <w:tblPr>
      <w:tblStyleRowBandSize w:val="1"/>
      <w:tblStyleColBandSize w:val="1"/>
      <w:tblCellMar>
        <w:left w:w="70" w:type="dxa"/>
        <w:right w:w="70" w:type="dxa"/>
      </w:tblCellMar>
    </w:tblPr>
  </w:style>
  <w:style w:type="table" w:customStyle="1" w:styleId="af4">
    <w:basedOn w:val="TableNormal3"/>
    <w:rsid w:val="009902F7"/>
    <w:tblPr>
      <w:tblStyleRowBandSize w:val="1"/>
      <w:tblStyleColBandSize w:val="1"/>
      <w:tblCellMar>
        <w:left w:w="70" w:type="dxa"/>
        <w:right w:w="70" w:type="dxa"/>
      </w:tblCellMar>
    </w:tblPr>
  </w:style>
  <w:style w:type="table" w:customStyle="1" w:styleId="af5">
    <w:basedOn w:val="TableNormal3"/>
    <w:rsid w:val="009902F7"/>
    <w:tblPr>
      <w:tblStyleRowBandSize w:val="1"/>
      <w:tblStyleColBandSize w:val="1"/>
      <w:tblCellMar>
        <w:left w:w="70" w:type="dxa"/>
        <w:right w:w="70" w:type="dxa"/>
      </w:tblCellMar>
    </w:tblPr>
  </w:style>
  <w:style w:type="table" w:customStyle="1" w:styleId="af6">
    <w:basedOn w:val="TableNormal3"/>
    <w:rsid w:val="009902F7"/>
    <w:tblPr>
      <w:tblStyleRowBandSize w:val="1"/>
      <w:tblStyleColBandSize w:val="1"/>
      <w:tblCellMar>
        <w:left w:w="70" w:type="dxa"/>
        <w:right w:w="70" w:type="dxa"/>
      </w:tblCellMar>
    </w:tblPr>
  </w:style>
  <w:style w:type="table" w:customStyle="1" w:styleId="af7">
    <w:basedOn w:val="TableNormal3"/>
    <w:rsid w:val="009902F7"/>
    <w:tblPr>
      <w:tblStyleRowBandSize w:val="1"/>
      <w:tblStyleColBandSize w:val="1"/>
      <w:tblCellMar>
        <w:left w:w="70" w:type="dxa"/>
        <w:right w:w="70" w:type="dxa"/>
      </w:tblCellMar>
    </w:tblPr>
  </w:style>
  <w:style w:type="table" w:customStyle="1" w:styleId="af8">
    <w:basedOn w:val="TableNormal3"/>
    <w:rsid w:val="009902F7"/>
    <w:tblPr>
      <w:tblStyleRowBandSize w:val="1"/>
      <w:tblStyleColBandSize w:val="1"/>
      <w:tblCellMar>
        <w:left w:w="70" w:type="dxa"/>
        <w:right w:w="70" w:type="dxa"/>
      </w:tblCellMar>
    </w:tblPr>
  </w:style>
  <w:style w:type="table" w:customStyle="1" w:styleId="af9">
    <w:basedOn w:val="TableNormal3"/>
    <w:rsid w:val="009902F7"/>
    <w:tblPr>
      <w:tblStyleRowBandSize w:val="1"/>
      <w:tblStyleColBandSize w:val="1"/>
      <w:tblCellMar>
        <w:left w:w="70" w:type="dxa"/>
        <w:right w:w="70" w:type="dxa"/>
      </w:tblCellMar>
    </w:tblPr>
  </w:style>
  <w:style w:type="table" w:customStyle="1" w:styleId="afa">
    <w:basedOn w:val="TableNormal3"/>
    <w:rsid w:val="009902F7"/>
    <w:tblPr>
      <w:tblStyleRowBandSize w:val="1"/>
      <w:tblStyleColBandSize w:val="1"/>
      <w:tblCellMar>
        <w:left w:w="70" w:type="dxa"/>
        <w:right w:w="70" w:type="dxa"/>
      </w:tblCellMar>
    </w:tblPr>
  </w:style>
  <w:style w:type="table" w:customStyle="1" w:styleId="afb">
    <w:basedOn w:val="TableNormal3"/>
    <w:rsid w:val="009902F7"/>
    <w:tblPr>
      <w:tblStyleRowBandSize w:val="1"/>
      <w:tblStyleColBandSize w:val="1"/>
      <w:tblCellMar>
        <w:left w:w="70" w:type="dxa"/>
        <w:right w:w="70" w:type="dxa"/>
      </w:tblCellMar>
    </w:tblPr>
  </w:style>
  <w:style w:type="table" w:customStyle="1" w:styleId="afc">
    <w:basedOn w:val="TableNormal3"/>
    <w:rsid w:val="009902F7"/>
    <w:tblPr>
      <w:tblStyleRowBandSize w:val="1"/>
      <w:tblStyleColBandSize w:val="1"/>
      <w:tblCellMar>
        <w:left w:w="70" w:type="dxa"/>
        <w:right w:w="70" w:type="dxa"/>
      </w:tblCellMar>
    </w:tblPr>
  </w:style>
  <w:style w:type="table" w:customStyle="1" w:styleId="afd">
    <w:basedOn w:val="TableNormal3"/>
    <w:rsid w:val="009902F7"/>
    <w:tblPr>
      <w:tblStyleRowBandSize w:val="1"/>
      <w:tblStyleColBandSize w:val="1"/>
      <w:tblCellMar>
        <w:left w:w="70" w:type="dxa"/>
        <w:right w:w="70" w:type="dxa"/>
      </w:tblCellMar>
    </w:tblPr>
  </w:style>
  <w:style w:type="table" w:customStyle="1" w:styleId="afe">
    <w:basedOn w:val="TableNormal3"/>
    <w:rsid w:val="009902F7"/>
    <w:tblPr>
      <w:tblStyleRowBandSize w:val="1"/>
      <w:tblStyleColBandSize w:val="1"/>
      <w:tblCellMar>
        <w:left w:w="70" w:type="dxa"/>
        <w:right w:w="70" w:type="dxa"/>
      </w:tblCellMar>
    </w:tblPr>
  </w:style>
  <w:style w:type="table" w:customStyle="1" w:styleId="aff">
    <w:basedOn w:val="TableNormal3"/>
    <w:rsid w:val="009902F7"/>
    <w:tblPr>
      <w:tblStyleRowBandSize w:val="1"/>
      <w:tblStyleColBandSize w:val="1"/>
      <w:tblCellMar>
        <w:left w:w="70" w:type="dxa"/>
        <w:right w:w="70" w:type="dxa"/>
      </w:tblCellMar>
    </w:tblPr>
  </w:style>
  <w:style w:type="table" w:customStyle="1" w:styleId="aff0">
    <w:basedOn w:val="TableNormal3"/>
    <w:rsid w:val="009902F7"/>
    <w:tblPr>
      <w:tblStyleRowBandSize w:val="1"/>
      <w:tblStyleColBandSize w:val="1"/>
      <w:tblCellMar>
        <w:left w:w="70" w:type="dxa"/>
        <w:right w:w="70" w:type="dxa"/>
      </w:tblCellMar>
    </w:tblPr>
  </w:style>
  <w:style w:type="table" w:customStyle="1" w:styleId="aff1">
    <w:basedOn w:val="TableNormal3"/>
    <w:rsid w:val="009902F7"/>
    <w:tblPr>
      <w:tblStyleRowBandSize w:val="1"/>
      <w:tblStyleColBandSize w:val="1"/>
      <w:tblCellMar>
        <w:top w:w="100" w:type="dxa"/>
        <w:left w:w="100" w:type="dxa"/>
        <w:bottom w:w="100" w:type="dxa"/>
        <w:right w:w="100" w:type="dxa"/>
      </w:tblCellMar>
    </w:tblPr>
  </w:style>
  <w:style w:type="table" w:customStyle="1" w:styleId="aff2">
    <w:basedOn w:val="TableNormal3"/>
    <w:rsid w:val="009902F7"/>
    <w:tblPr>
      <w:tblStyleRowBandSize w:val="1"/>
      <w:tblStyleColBandSize w:val="1"/>
      <w:tblCellMar>
        <w:left w:w="70" w:type="dxa"/>
        <w:right w:w="70" w:type="dxa"/>
      </w:tblCellMar>
    </w:tblPr>
  </w:style>
  <w:style w:type="table" w:customStyle="1" w:styleId="aff3">
    <w:basedOn w:val="TableNormal3"/>
    <w:rsid w:val="009902F7"/>
    <w:tblPr>
      <w:tblStyleRowBandSize w:val="1"/>
      <w:tblStyleColBandSize w:val="1"/>
      <w:tblCellMar>
        <w:top w:w="100" w:type="dxa"/>
        <w:left w:w="100" w:type="dxa"/>
        <w:bottom w:w="100" w:type="dxa"/>
        <w:right w:w="100" w:type="dxa"/>
      </w:tblCellMar>
    </w:tblPr>
  </w:style>
  <w:style w:type="table" w:customStyle="1" w:styleId="aff4">
    <w:basedOn w:val="TableNormal3"/>
    <w:rsid w:val="009902F7"/>
    <w:tblPr>
      <w:tblStyleRowBandSize w:val="1"/>
      <w:tblStyleColBandSize w:val="1"/>
      <w:tblCellMar>
        <w:left w:w="70" w:type="dxa"/>
        <w:right w:w="70" w:type="dxa"/>
      </w:tblCellMar>
    </w:tblPr>
  </w:style>
  <w:style w:type="table" w:customStyle="1" w:styleId="aff5">
    <w:basedOn w:val="TableNormal3"/>
    <w:rsid w:val="009902F7"/>
    <w:tblPr>
      <w:tblStyleRowBandSize w:val="1"/>
      <w:tblStyleColBandSize w:val="1"/>
      <w:tblCellMar>
        <w:top w:w="100" w:type="dxa"/>
        <w:left w:w="100" w:type="dxa"/>
        <w:bottom w:w="100" w:type="dxa"/>
        <w:right w:w="100" w:type="dxa"/>
      </w:tblCellMar>
    </w:tblPr>
  </w:style>
  <w:style w:type="table" w:customStyle="1" w:styleId="aff6">
    <w:basedOn w:val="TableNormal3"/>
    <w:rsid w:val="009902F7"/>
    <w:tblPr>
      <w:tblStyleRowBandSize w:val="1"/>
      <w:tblStyleColBandSize w:val="1"/>
      <w:tblCellMar>
        <w:left w:w="70" w:type="dxa"/>
        <w:right w:w="70" w:type="dxa"/>
      </w:tblCellMar>
    </w:tblPr>
  </w:style>
  <w:style w:type="table" w:customStyle="1" w:styleId="aff7">
    <w:basedOn w:val="TableNormal3"/>
    <w:rsid w:val="009902F7"/>
    <w:tblPr>
      <w:tblStyleRowBandSize w:val="1"/>
      <w:tblStyleColBandSize w:val="1"/>
      <w:tblCellMar>
        <w:left w:w="70" w:type="dxa"/>
        <w:right w:w="70" w:type="dxa"/>
      </w:tblCellMar>
    </w:tblPr>
  </w:style>
  <w:style w:type="table" w:customStyle="1" w:styleId="aff8">
    <w:basedOn w:val="TableNormal3"/>
    <w:rsid w:val="009902F7"/>
    <w:tblPr>
      <w:tblStyleRowBandSize w:val="1"/>
      <w:tblStyleColBandSize w:val="1"/>
      <w:tblCellMar>
        <w:left w:w="70" w:type="dxa"/>
        <w:right w:w="70" w:type="dxa"/>
      </w:tblCellMar>
    </w:tblPr>
  </w:style>
  <w:style w:type="table" w:customStyle="1" w:styleId="aff9">
    <w:basedOn w:val="TableNormal3"/>
    <w:rsid w:val="009902F7"/>
    <w:tblPr>
      <w:tblStyleRowBandSize w:val="1"/>
      <w:tblStyleColBandSize w:val="1"/>
      <w:tblCellMar>
        <w:top w:w="100" w:type="dxa"/>
        <w:left w:w="100" w:type="dxa"/>
        <w:bottom w:w="100" w:type="dxa"/>
        <w:right w:w="100" w:type="dxa"/>
      </w:tblCellMar>
    </w:tblPr>
  </w:style>
  <w:style w:type="table" w:customStyle="1" w:styleId="affa">
    <w:basedOn w:val="TableNormal3"/>
    <w:rsid w:val="009902F7"/>
    <w:tblPr>
      <w:tblStyleRowBandSize w:val="1"/>
      <w:tblStyleColBandSize w:val="1"/>
      <w:tblCellMar>
        <w:left w:w="70" w:type="dxa"/>
        <w:right w:w="70" w:type="dxa"/>
      </w:tblCellMar>
    </w:tblPr>
  </w:style>
  <w:style w:type="table" w:customStyle="1" w:styleId="affb">
    <w:basedOn w:val="TableNormal3"/>
    <w:rsid w:val="009902F7"/>
    <w:tblPr>
      <w:tblStyleRowBandSize w:val="1"/>
      <w:tblStyleColBandSize w:val="1"/>
      <w:tblCellMar>
        <w:left w:w="70" w:type="dxa"/>
        <w:right w:w="70" w:type="dxa"/>
      </w:tblCellMar>
    </w:tblPr>
  </w:style>
  <w:style w:type="table" w:customStyle="1" w:styleId="affc">
    <w:basedOn w:val="TableNormal3"/>
    <w:rsid w:val="009902F7"/>
    <w:tblPr>
      <w:tblStyleRowBandSize w:val="1"/>
      <w:tblStyleColBandSize w:val="1"/>
      <w:tblCellMar>
        <w:left w:w="70" w:type="dxa"/>
        <w:right w:w="70" w:type="dxa"/>
      </w:tblCellMar>
    </w:tblPr>
  </w:style>
  <w:style w:type="table" w:customStyle="1" w:styleId="affd">
    <w:basedOn w:val="TableNormal3"/>
    <w:rsid w:val="009902F7"/>
    <w:tblPr>
      <w:tblStyleRowBandSize w:val="1"/>
      <w:tblStyleColBandSize w:val="1"/>
      <w:tblCellMar>
        <w:left w:w="70" w:type="dxa"/>
        <w:right w:w="70" w:type="dxa"/>
      </w:tblCellMar>
    </w:tblPr>
  </w:style>
  <w:style w:type="table" w:customStyle="1" w:styleId="affe">
    <w:basedOn w:val="TableNormal3"/>
    <w:rsid w:val="009902F7"/>
    <w:tblPr>
      <w:tblStyleRowBandSize w:val="1"/>
      <w:tblStyleColBandSize w:val="1"/>
      <w:tblCellMar>
        <w:left w:w="70" w:type="dxa"/>
        <w:right w:w="70" w:type="dxa"/>
      </w:tblCellMar>
    </w:tblPr>
  </w:style>
  <w:style w:type="table" w:customStyle="1" w:styleId="afff">
    <w:basedOn w:val="TableNormal3"/>
    <w:rsid w:val="009902F7"/>
    <w:tblPr>
      <w:tblStyleRowBandSize w:val="1"/>
      <w:tblStyleColBandSize w:val="1"/>
      <w:tblCellMar>
        <w:left w:w="70" w:type="dxa"/>
        <w:right w:w="70" w:type="dxa"/>
      </w:tblCellMar>
    </w:tblPr>
  </w:style>
  <w:style w:type="table" w:customStyle="1" w:styleId="afff0">
    <w:basedOn w:val="TableNormal2"/>
    <w:rsid w:val="009902F7"/>
    <w:tblPr>
      <w:tblStyleRowBandSize w:val="1"/>
      <w:tblStyleColBandSize w:val="1"/>
      <w:tblCellMar>
        <w:left w:w="70" w:type="dxa"/>
        <w:right w:w="70" w:type="dxa"/>
      </w:tblCellMar>
    </w:tblPr>
  </w:style>
  <w:style w:type="table" w:customStyle="1" w:styleId="afff1">
    <w:basedOn w:val="TableNormal2"/>
    <w:rsid w:val="009902F7"/>
    <w:tblPr>
      <w:tblStyleRowBandSize w:val="1"/>
      <w:tblStyleColBandSize w:val="1"/>
      <w:tblCellMar>
        <w:left w:w="70" w:type="dxa"/>
        <w:right w:w="70" w:type="dxa"/>
      </w:tblCellMar>
    </w:tblPr>
  </w:style>
  <w:style w:type="table" w:customStyle="1" w:styleId="afff2">
    <w:basedOn w:val="TableNormal2"/>
    <w:rsid w:val="009902F7"/>
    <w:tblPr>
      <w:tblStyleRowBandSize w:val="1"/>
      <w:tblStyleColBandSize w:val="1"/>
      <w:tblCellMar>
        <w:left w:w="70" w:type="dxa"/>
        <w:right w:w="70" w:type="dxa"/>
      </w:tblCellMar>
    </w:tblPr>
  </w:style>
  <w:style w:type="table" w:customStyle="1" w:styleId="afff3">
    <w:basedOn w:val="TableNormal2"/>
    <w:rsid w:val="009902F7"/>
    <w:tblPr>
      <w:tblStyleRowBandSize w:val="1"/>
      <w:tblStyleColBandSize w:val="1"/>
      <w:tblCellMar>
        <w:left w:w="70" w:type="dxa"/>
        <w:right w:w="70" w:type="dxa"/>
      </w:tblCellMar>
    </w:tblPr>
  </w:style>
  <w:style w:type="table" w:customStyle="1" w:styleId="afff4">
    <w:basedOn w:val="TableNormal2"/>
    <w:rsid w:val="009902F7"/>
    <w:tblPr>
      <w:tblStyleRowBandSize w:val="1"/>
      <w:tblStyleColBandSize w:val="1"/>
      <w:tblCellMar>
        <w:left w:w="70" w:type="dxa"/>
        <w:right w:w="70" w:type="dxa"/>
      </w:tblCellMar>
    </w:tblPr>
  </w:style>
  <w:style w:type="table" w:customStyle="1" w:styleId="afff5">
    <w:basedOn w:val="TableNormal2"/>
    <w:rsid w:val="009902F7"/>
    <w:tblPr>
      <w:tblStyleRowBandSize w:val="1"/>
      <w:tblStyleColBandSize w:val="1"/>
      <w:tblCellMar>
        <w:left w:w="70" w:type="dxa"/>
        <w:right w:w="70" w:type="dxa"/>
      </w:tblCellMar>
    </w:tblPr>
  </w:style>
  <w:style w:type="table" w:customStyle="1" w:styleId="afff6">
    <w:basedOn w:val="TableNormal2"/>
    <w:rsid w:val="009902F7"/>
    <w:tblPr>
      <w:tblStyleRowBandSize w:val="1"/>
      <w:tblStyleColBandSize w:val="1"/>
      <w:tblCellMar>
        <w:top w:w="100" w:type="dxa"/>
        <w:left w:w="100" w:type="dxa"/>
        <w:bottom w:w="100" w:type="dxa"/>
        <w:right w:w="100" w:type="dxa"/>
      </w:tblCellMar>
    </w:tblPr>
  </w:style>
  <w:style w:type="table" w:customStyle="1" w:styleId="afff7">
    <w:basedOn w:val="TableNormal2"/>
    <w:rsid w:val="009902F7"/>
    <w:tblPr>
      <w:tblStyleRowBandSize w:val="1"/>
      <w:tblStyleColBandSize w:val="1"/>
      <w:tblCellMar>
        <w:left w:w="70" w:type="dxa"/>
        <w:right w:w="70" w:type="dxa"/>
      </w:tblCellMar>
    </w:tblPr>
  </w:style>
  <w:style w:type="table" w:customStyle="1" w:styleId="afff8">
    <w:basedOn w:val="TableNormal2"/>
    <w:rsid w:val="009902F7"/>
    <w:tblPr>
      <w:tblStyleRowBandSize w:val="1"/>
      <w:tblStyleColBandSize w:val="1"/>
      <w:tblCellMar>
        <w:left w:w="70" w:type="dxa"/>
        <w:right w:w="70" w:type="dxa"/>
      </w:tblCellMar>
    </w:tblPr>
  </w:style>
  <w:style w:type="table" w:customStyle="1" w:styleId="afff9">
    <w:basedOn w:val="TableNormal2"/>
    <w:rsid w:val="009902F7"/>
    <w:tblPr>
      <w:tblStyleRowBandSize w:val="1"/>
      <w:tblStyleColBandSize w:val="1"/>
      <w:tblCellMar>
        <w:top w:w="100" w:type="dxa"/>
        <w:left w:w="100" w:type="dxa"/>
        <w:bottom w:w="100" w:type="dxa"/>
        <w:right w:w="100" w:type="dxa"/>
      </w:tblCellMar>
    </w:tblPr>
  </w:style>
  <w:style w:type="table" w:customStyle="1" w:styleId="afffa">
    <w:basedOn w:val="TableNormal2"/>
    <w:rsid w:val="009902F7"/>
    <w:tblPr>
      <w:tblStyleRowBandSize w:val="1"/>
      <w:tblStyleColBandSize w:val="1"/>
      <w:tblCellMar>
        <w:left w:w="70" w:type="dxa"/>
        <w:right w:w="70" w:type="dxa"/>
      </w:tblCellMar>
    </w:tblPr>
  </w:style>
  <w:style w:type="table" w:customStyle="1" w:styleId="afffb">
    <w:basedOn w:val="TableNormal2"/>
    <w:rsid w:val="009902F7"/>
    <w:tblPr>
      <w:tblStyleRowBandSize w:val="1"/>
      <w:tblStyleColBandSize w:val="1"/>
      <w:tblCellMar>
        <w:left w:w="70" w:type="dxa"/>
        <w:right w:w="70" w:type="dxa"/>
      </w:tblCellMar>
    </w:tblPr>
  </w:style>
  <w:style w:type="table" w:customStyle="1" w:styleId="afffc">
    <w:basedOn w:val="TableNormal2"/>
    <w:rsid w:val="009902F7"/>
    <w:tblPr>
      <w:tblStyleRowBandSize w:val="1"/>
      <w:tblStyleColBandSize w:val="1"/>
      <w:tblCellMar>
        <w:left w:w="70" w:type="dxa"/>
        <w:right w:w="70" w:type="dxa"/>
      </w:tblCellMar>
    </w:tblPr>
  </w:style>
  <w:style w:type="table" w:customStyle="1" w:styleId="afffd">
    <w:basedOn w:val="TableNormal2"/>
    <w:rsid w:val="009902F7"/>
    <w:tblPr>
      <w:tblStyleRowBandSize w:val="1"/>
      <w:tblStyleColBandSize w:val="1"/>
      <w:tblCellMar>
        <w:left w:w="70" w:type="dxa"/>
        <w:right w:w="70" w:type="dxa"/>
      </w:tblCellMar>
    </w:tblPr>
  </w:style>
  <w:style w:type="table" w:customStyle="1" w:styleId="afffe">
    <w:basedOn w:val="TableNormal2"/>
    <w:rsid w:val="009902F7"/>
    <w:tblPr>
      <w:tblStyleRowBandSize w:val="1"/>
      <w:tblStyleColBandSize w:val="1"/>
      <w:tblCellMar>
        <w:left w:w="70" w:type="dxa"/>
        <w:right w:w="70" w:type="dxa"/>
      </w:tblCellMar>
    </w:tblPr>
  </w:style>
  <w:style w:type="table" w:customStyle="1" w:styleId="affff">
    <w:basedOn w:val="TableNormal2"/>
    <w:rsid w:val="009902F7"/>
    <w:tblPr>
      <w:tblStyleRowBandSize w:val="1"/>
      <w:tblStyleColBandSize w:val="1"/>
      <w:tblCellMar>
        <w:left w:w="70" w:type="dxa"/>
        <w:right w:w="70" w:type="dxa"/>
      </w:tblCellMar>
    </w:tblPr>
  </w:style>
  <w:style w:type="table" w:customStyle="1" w:styleId="affff0">
    <w:basedOn w:val="TableNormal2"/>
    <w:rsid w:val="009902F7"/>
    <w:tblPr>
      <w:tblStyleRowBandSize w:val="1"/>
      <w:tblStyleColBandSize w:val="1"/>
      <w:tblCellMar>
        <w:left w:w="70" w:type="dxa"/>
        <w:right w:w="70" w:type="dxa"/>
      </w:tblCellMar>
    </w:tblPr>
  </w:style>
  <w:style w:type="table" w:customStyle="1" w:styleId="affff1">
    <w:basedOn w:val="TableNormal2"/>
    <w:rsid w:val="009902F7"/>
    <w:tblPr>
      <w:tblStyleRowBandSize w:val="1"/>
      <w:tblStyleColBandSize w:val="1"/>
      <w:tblCellMar>
        <w:left w:w="70" w:type="dxa"/>
        <w:right w:w="70" w:type="dxa"/>
      </w:tblCellMar>
    </w:tblPr>
  </w:style>
  <w:style w:type="table" w:customStyle="1" w:styleId="affff2">
    <w:basedOn w:val="TableNormal2"/>
    <w:rsid w:val="009902F7"/>
    <w:tblPr>
      <w:tblStyleRowBandSize w:val="1"/>
      <w:tblStyleColBandSize w:val="1"/>
      <w:tblCellMar>
        <w:left w:w="70" w:type="dxa"/>
        <w:right w:w="70" w:type="dxa"/>
      </w:tblCellMar>
    </w:tblPr>
  </w:style>
  <w:style w:type="table" w:customStyle="1" w:styleId="affff3">
    <w:basedOn w:val="TableNormal2"/>
    <w:rsid w:val="009902F7"/>
    <w:tblPr>
      <w:tblStyleRowBandSize w:val="1"/>
      <w:tblStyleColBandSize w:val="1"/>
      <w:tblCellMar>
        <w:left w:w="70" w:type="dxa"/>
        <w:right w:w="70" w:type="dxa"/>
      </w:tblCellMar>
    </w:tblPr>
  </w:style>
  <w:style w:type="table" w:customStyle="1" w:styleId="affff4">
    <w:basedOn w:val="TableNormal2"/>
    <w:rsid w:val="009902F7"/>
    <w:tblPr>
      <w:tblStyleRowBandSize w:val="1"/>
      <w:tblStyleColBandSize w:val="1"/>
      <w:tblCellMar>
        <w:left w:w="70" w:type="dxa"/>
        <w:right w:w="70" w:type="dxa"/>
      </w:tblCellMar>
    </w:tblPr>
  </w:style>
  <w:style w:type="table" w:customStyle="1" w:styleId="affff5">
    <w:basedOn w:val="TableNormal2"/>
    <w:rsid w:val="009902F7"/>
    <w:tblPr>
      <w:tblStyleRowBandSize w:val="1"/>
      <w:tblStyleColBandSize w:val="1"/>
      <w:tblCellMar>
        <w:left w:w="70" w:type="dxa"/>
        <w:right w:w="70" w:type="dxa"/>
      </w:tblCellMar>
    </w:tblPr>
  </w:style>
  <w:style w:type="table" w:customStyle="1" w:styleId="affff6">
    <w:basedOn w:val="TableNormal2"/>
    <w:rsid w:val="009902F7"/>
    <w:tblPr>
      <w:tblStyleRowBandSize w:val="1"/>
      <w:tblStyleColBandSize w:val="1"/>
      <w:tblCellMar>
        <w:left w:w="70" w:type="dxa"/>
        <w:right w:w="70" w:type="dxa"/>
      </w:tblCellMar>
    </w:tblPr>
  </w:style>
  <w:style w:type="table" w:customStyle="1" w:styleId="affff7">
    <w:basedOn w:val="TableNormal2"/>
    <w:rsid w:val="009902F7"/>
    <w:tblPr>
      <w:tblStyleRowBandSize w:val="1"/>
      <w:tblStyleColBandSize w:val="1"/>
      <w:tblCellMar>
        <w:left w:w="70" w:type="dxa"/>
        <w:right w:w="70" w:type="dxa"/>
      </w:tblCellMar>
    </w:tblPr>
  </w:style>
  <w:style w:type="table" w:customStyle="1" w:styleId="affff8">
    <w:basedOn w:val="TableNormal2"/>
    <w:rsid w:val="009902F7"/>
    <w:tblPr>
      <w:tblStyleRowBandSize w:val="1"/>
      <w:tblStyleColBandSize w:val="1"/>
      <w:tblCellMar>
        <w:left w:w="70" w:type="dxa"/>
        <w:right w:w="70" w:type="dxa"/>
      </w:tblCellMar>
    </w:tblPr>
  </w:style>
  <w:style w:type="table" w:customStyle="1" w:styleId="affff9">
    <w:basedOn w:val="TableNormal2"/>
    <w:rsid w:val="009902F7"/>
    <w:tblPr>
      <w:tblStyleRowBandSize w:val="1"/>
      <w:tblStyleColBandSize w:val="1"/>
      <w:tblCellMar>
        <w:left w:w="70" w:type="dxa"/>
        <w:right w:w="70" w:type="dxa"/>
      </w:tblCellMar>
    </w:tblPr>
  </w:style>
  <w:style w:type="table" w:customStyle="1" w:styleId="affffa">
    <w:basedOn w:val="TableNormal2"/>
    <w:rsid w:val="009902F7"/>
    <w:tblPr>
      <w:tblStyleRowBandSize w:val="1"/>
      <w:tblStyleColBandSize w:val="1"/>
      <w:tblCellMar>
        <w:top w:w="100" w:type="dxa"/>
        <w:left w:w="100" w:type="dxa"/>
        <w:bottom w:w="100" w:type="dxa"/>
        <w:right w:w="100" w:type="dxa"/>
      </w:tblCellMar>
    </w:tblPr>
  </w:style>
  <w:style w:type="table" w:customStyle="1" w:styleId="affffb">
    <w:basedOn w:val="TableNormal2"/>
    <w:rsid w:val="009902F7"/>
    <w:tblPr>
      <w:tblStyleRowBandSize w:val="1"/>
      <w:tblStyleColBandSize w:val="1"/>
      <w:tblCellMar>
        <w:left w:w="70" w:type="dxa"/>
        <w:right w:w="70" w:type="dxa"/>
      </w:tblCellMar>
    </w:tblPr>
  </w:style>
  <w:style w:type="paragraph" w:styleId="TDC1">
    <w:name w:val="toc 1"/>
    <w:basedOn w:val="Normal"/>
    <w:next w:val="Normal"/>
    <w:autoRedefine/>
    <w:uiPriority w:val="39"/>
    <w:unhideWhenUsed/>
    <w:rsid w:val="00B73272"/>
    <w:pPr>
      <w:spacing w:after="100"/>
      <w:ind w:left="0"/>
    </w:pPr>
  </w:style>
  <w:style w:type="paragraph" w:styleId="TDC2">
    <w:name w:val="toc 2"/>
    <w:basedOn w:val="Normal"/>
    <w:next w:val="Normal"/>
    <w:autoRedefine/>
    <w:uiPriority w:val="39"/>
    <w:unhideWhenUsed/>
    <w:rsid w:val="00B73272"/>
    <w:pPr>
      <w:spacing w:after="100"/>
      <w:ind w:left="240"/>
    </w:pPr>
  </w:style>
  <w:style w:type="paragraph" w:styleId="TDC3">
    <w:name w:val="toc 3"/>
    <w:basedOn w:val="Normal"/>
    <w:next w:val="Normal"/>
    <w:autoRedefine/>
    <w:uiPriority w:val="39"/>
    <w:unhideWhenUsed/>
    <w:rsid w:val="00B73272"/>
    <w:pPr>
      <w:suppressAutoHyphens w:val="0"/>
      <w:spacing w:after="100" w:line="276" w:lineRule="auto"/>
      <w:ind w:leftChars="0" w:left="4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4">
    <w:name w:val="toc 4"/>
    <w:basedOn w:val="Normal"/>
    <w:next w:val="Normal"/>
    <w:autoRedefine/>
    <w:uiPriority w:val="39"/>
    <w:unhideWhenUsed/>
    <w:rsid w:val="00B73272"/>
    <w:pPr>
      <w:suppressAutoHyphens w:val="0"/>
      <w:spacing w:after="100" w:line="276"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5">
    <w:name w:val="toc 5"/>
    <w:basedOn w:val="Normal"/>
    <w:next w:val="Normal"/>
    <w:autoRedefine/>
    <w:uiPriority w:val="39"/>
    <w:unhideWhenUsed/>
    <w:rsid w:val="00B73272"/>
    <w:pPr>
      <w:suppressAutoHyphens w:val="0"/>
      <w:spacing w:after="100" w:line="276"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6">
    <w:name w:val="toc 6"/>
    <w:basedOn w:val="Normal"/>
    <w:next w:val="Normal"/>
    <w:autoRedefine/>
    <w:uiPriority w:val="39"/>
    <w:unhideWhenUsed/>
    <w:rsid w:val="00B73272"/>
    <w:pPr>
      <w:suppressAutoHyphens w:val="0"/>
      <w:spacing w:after="100" w:line="276"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7">
    <w:name w:val="toc 7"/>
    <w:basedOn w:val="Normal"/>
    <w:next w:val="Normal"/>
    <w:autoRedefine/>
    <w:uiPriority w:val="39"/>
    <w:unhideWhenUsed/>
    <w:rsid w:val="00B73272"/>
    <w:pPr>
      <w:suppressAutoHyphens w:val="0"/>
      <w:spacing w:after="100" w:line="276"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8">
    <w:name w:val="toc 8"/>
    <w:basedOn w:val="Normal"/>
    <w:next w:val="Normal"/>
    <w:autoRedefine/>
    <w:uiPriority w:val="39"/>
    <w:unhideWhenUsed/>
    <w:rsid w:val="00B73272"/>
    <w:pPr>
      <w:suppressAutoHyphens w:val="0"/>
      <w:spacing w:after="100" w:line="276"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TDC9">
    <w:name w:val="toc 9"/>
    <w:basedOn w:val="Normal"/>
    <w:next w:val="Normal"/>
    <w:autoRedefine/>
    <w:uiPriority w:val="39"/>
    <w:unhideWhenUsed/>
    <w:rsid w:val="00B73272"/>
    <w:pPr>
      <w:suppressAutoHyphens w:val="0"/>
      <w:spacing w:after="100" w:line="276"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 w:type="character" w:styleId="Hipervnculo">
    <w:name w:val="Hyperlink"/>
    <w:basedOn w:val="Fuentedeprrafopredeter"/>
    <w:uiPriority w:val="99"/>
    <w:unhideWhenUsed/>
    <w:rsid w:val="00B73272"/>
    <w:rPr>
      <w:color w:val="0000FF" w:themeColor="hyperlink"/>
      <w:u w:val="single"/>
    </w:rPr>
  </w:style>
  <w:style w:type="paragraph" w:styleId="NormalWeb">
    <w:name w:val="Normal (Web)"/>
    <w:basedOn w:val="Normal"/>
    <w:uiPriority w:val="99"/>
    <w:semiHidden/>
    <w:unhideWhenUsed/>
    <w:rsid w:val="00E00771"/>
    <w:rPr>
      <w:rFonts w:ascii="Times New Roman" w:hAnsi="Times New Roman" w:cs="Times New Roman"/>
    </w:rPr>
  </w:style>
  <w:style w:type="character" w:styleId="Hipervnculovisitado">
    <w:name w:val="FollowedHyperlink"/>
    <w:basedOn w:val="Fuentedeprrafopredeter"/>
    <w:uiPriority w:val="99"/>
    <w:semiHidden/>
    <w:unhideWhenUsed/>
    <w:rsid w:val="001E54DA"/>
    <w:rPr>
      <w:color w:val="800080" w:themeColor="followedHyperlink"/>
      <w:u w:val="single"/>
    </w:rPr>
  </w:style>
  <w:style w:type="table" w:customStyle="1" w:styleId="affffc">
    <w:basedOn w:val="TableNormal1"/>
    <w:tblPr>
      <w:tblStyleRowBandSize w:val="1"/>
      <w:tblStyleColBandSize w:val="1"/>
      <w:tblCellMar>
        <w:left w:w="70" w:type="dxa"/>
        <w:right w:w="70" w:type="dxa"/>
      </w:tblCellMar>
    </w:tblPr>
  </w:style>
  <w:style w:type="table" w:customStyle="1" w:styleId="affffd">
    <w:basedOn w:val="TableNormal1"/>
    <w:tblPr>
      <w:tblStyleRowBandSize w:val="1"/>
      <w:tblStyleColBandSize w:val="1"/>
      <w:tblCellMar>
        <w:left w:w="70" w:type="dxa"/>
        <w:right w:w="70" w:type="dxa"/>
      </w:tblCellMar>
    </w:tblPr>
  </w:style>
  <w:style w:type="table" w:customStyle="1" w:styleId="affffe">
    <w:basedOn w:val="TableNormal1"/>
    <w:tblPr>
      <w:tblStyleRowBandSize w:val="1"/>
      <w:tblStyleColBandSize w:val="1"/>
      <w:tblCellMar>
        <w:left w:w="70" w:type="dxa"/>
        <w:right w:w="70" w:type="dxa"/>
      </w:tblCellMar>
    </w:tblPr>
  </w:style>
  <w:style w:type="table" w:customStyle="1" w:styleId="afffff">
    <w:basedOn w:val="TableNormal1"/>
    <w:tblPr>
      <w:tblStyleRowBandSize w:val="1"/>
      <w:tblStyleColBandSize w:val="1"/>
      <w:tblCellMar>
        <w:left w:w="70" w:type="dxa"/>
        <w:right w:w="70" w:type="dxa"/>
      </w:tblCellMar>
    </w:tblPr>
  </w:style>
  <w:style w:type="table" w:customStyle="1" w:styleId="afffff0">
    <w:basedOn w:val="TableNormal1"/>
    <w:tblPr>
      <w:tblStyleRowBandSize w:val="1"/>
      <w:tblStyleColBandSize w:val="1"/>
      <w:tblCellMar>
        <w:left w:w="70" w:type="dxa"/>
        <w:right w:w="70" w:type="dxa"/>
      </w:tblCellMar>
    </w:tblPr>
  </w:style>
  <w:style w:type="table" w:customStyle="1" w:styleId="afffff1">
    <w:basedOn w:val="TableNormal1"/>
    <w:tblPr>
      <w:tblStyleRowBandSize w:val="1"/>
      <w:tblStyleColBandSize w:val="1"/>
      <w:tblCellMar>
        <w:left w:w="70" w:type="dxa"/>
        <w:right w:w="70" w:type="dxa"/>
      </w:tblCellMar>
    </w:tblPr>
  </w:style>
  <w:style w:type="table" w:customStyle="1" w:styleId="afffff2">
    <w:basedOn w:val="TableNormal1"/>
    <w:tblPr>
      <w:tblStyleRowBandSize w:val="1"/>
      <w:tblStyleColBandSize w:val="1"/>
      <w:tblCellMar>
        <w:left w:w="70" w:type="dxa"/>
        <w:right w:w="70" w:type="dxa"/>
      </w:tblCellMar>
    </w:tblPr>
  </w:style>
  <w:style w:type="table" w:customStyle="1" w:styleId="afffff3">
    <w:basedOn w:val="TableNormal1"/>
    <w:tblPr>
      <w:tblStyleRowBandSize w:val="1"/>
      <w:tblStyleColBandSize w:val="1"/>
      <w:tblCellMar>
        <w:left w:w="70" w:type="dxa"/>
        <w:right w:w="70" w:type="dxa"/>
      </w:tblCellMar>
    </w:tblPr>
  </w:style>
  <w:style w:type="table" w:customStyle="1" w:styleId="afffff4">
    <w:basedOn w:val="TableNormal1"/>
    <w:tblPr>
      <w:tblStyleRowBandSize w:val="1"/>
      <w:tblStyleColBandSize w:val="1"/>
      <w:tblCellMar>
        <w:left w:w="70" w:type="dxa"/>
        <w:right w:w="70" w:type="dxa"/>
      </w:tblCellMar>
    </w:tblPr>
  </w:style>
  <w:style w:type="table" w:customStyle="1" w:styleId="afffff5">
    <w:basedOn w:val="TableNormal1"/>
    <w:tblPr>
      <w:tblStyleRowBandSize w:val="1"/>
      <w:tblStyleColBandSize w:val="1"/>
      <w:tblCellMar>
        <w:left w:w="70" w:type="dxa"/>
        <w:right w:w="70" w:type="dxa"/>
      </w:tblCellMar>
    </w:tblPr>
  </w:style>
  <w:style w:type="table" w:customStyle="1" w:styleId="afffff6">
    <w:basedOn w:val="TableNormal1"/>
    <w:tblPr>
      <w:tblStyleRowBandSize w:val="1"/>
      <w:tblStyleColBandSize w:val="1"/>
      <w:tblCellMar>
        <w:left w:w="70" w:type="dxa"/>
        <w:right w:w="70" w:type="dxa"/>
      </w:tblCellMar>
    </w:tblPr>
  </w:style>
  <w:style w:type="table" w:customStyle="1" w:styleId="afffff7">
    <w:basedOn w:val="TableNormal1"/>
    <w:tblPr>
      <w:tblStyleRowBandSize w:val="1"/>
      <w:tblStyleColBandSize w:val="1"/>
      <w:tblCellMar>
        <w:left w:w="70" w:type="dxa"/>
        <w:right w:w="70" w:type="dxa"/>
      </w:tblCellMar>
    </w:tblPr>
  </w:style>
  <w:style w:type="table" w:customStyle="1" w:styleId="afffff8">
    <w:basedOn w:val="TableNormal1"/>
    <w:tblPr>
      <w:tblStyleRowBandSize w:val="1"/>
      <w:tblStyleColBandSize w:val="1"/>
      <w:tblCellMar>
        <w:left w:w="70" w:type="dxa"/>
        <w:right w:w="70" w:type="dxa"/>
      </w:tblCellMar>
    </w:tblPr>
  </w:style>
  <w:style w:type="table" w:customStyle="1" w:styleId="afffff9">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8826">
      <w:bodyDiv w:val="1"/>
      <w:marLeft w:val="0"/>
      <w:marRight w:val="0"/>
      <w:marTop w:val="0"/>
      <w:marBottom w:val="0"/>
      <w:divBdr>
        <w:top w:val="none" w:sz="0" w:space="0" w:color="auto"/>
        <w:left w:val="none" w:sz="0" w:space="0" w:color="auto"/>
        <w:bottom w:val="none" w:sz="0" w:space="0" w:color="auto"/>
        <w:right w:val="none" w:sz="0" w:space="0" w:color="auto"/>
      </w:divBdr>
    </w:div>
    <w:div w:id="845021921">
      <w:bodyDiv w:val="1"/>
      <w:marLeft w:val="0"/>
      <w:marRight w:val="0"/>
      <w:marTop w:val="0"/>
      <w:marBottom w:val="0"/>
      <w:divBdr>
        <w:top w:val="none" w:sz="0" w:space="0" w:color="auto"/>
        <w:left w:val="none" w:sz="0" w:space="0" w:color="auto"/>
        <w:bottom w:val="none" w:sz="0" w:space="0" w:color="auto"/>
        <w:right w:val="none" w:sz="0" w:space="0" w:color="auto"/>
      </w:divBdr>
    </w:div>
    <w:div w:id="1326519480">
      <w:bodyDiv w:val="1"/>
      <w:marLeft w:val="0"/>
      <w:marRight w:val="0"/>
      <w:marTop w:val="0"/>
      <w:marBottom w:val="0"/>
      <w:divBdr>
        <w:top w:val="none" w:sz="0" w:space="0" w:color="auto"/>
        <w:left w:val="none" w:sz="0" w:space="0" w:color="auto"/>
        <w:bottom w:val="none" w:sz="0" w:space="0" w:color="auto"/>
        <w:right w:val="none" w:sz="0" w:space="0" w:color="auto"/>
      </w:divBdr>
    </w:div>
    <w:div w:id="1782870298">
      <w:bodyDiv w:val="1"/>
      <w:marLeft w:val="0"/>
      <w:marRight w:val="0"/>
      <w:marTop w:val="0"/>
      <w:marBottom w:val="0"/>
      <w:divBdr>
        <w:top w:val="none" w:sz="0" w:space="0" w:color="auto"/>
        <w:left w:val="none" w:sz="0" w:space="0" w:color="auto"/>
        <w:bottom w:val="none" w:sz="0" w:space="0" w:color="auto"/>
        <w:right w:val="none" w:sz="0" w:space="0" w:color="auto"/>
      </w:divBdr>
    </w:div>
    <w:div w:id="2019578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03dlWlAhADo37_MRs64vvxXKWc7JZTa/vie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ideandalucia.es/normas/ordenes/Orden30mayo2023EducacionSecundariaObligatori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eEIE5XpCvhxg2mY7Cb8DEE9eA==">CgMxLjAyDmguaTh0Zno4OG45a3RlMg5oLnFiYmpzMmVyZjIyYzIOaC4xNjdmOGZxbTliMXAyDmgudmp5NmkxbzljZGEwOAByITFjcmQwZjFpc3I0V1NlV21XcFNfQlFCc0VjOWNCcjliZw==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2596</Words>
  <Characters>14279</Characters>
  <Application>Microsoft Office Word</Application>
  <DocSecurity>0</DocSecurity>
  <Lines>118</Lines>
  <Paragraphs>33</Paragraphs>
  <ScaleCrop>false</ScaleCrop>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Juan de Aréjula</dc:creator>
  <cp:lastModifiedBy>Arcángel Bedmar González</cp:lastModifiedBy>
  <cp:revision>8</cp:revision>
  <dcterms:created xsi:type="dcterms:W3CDTF">2022-11-21T14:09:00Z</dcterms:created>
  <dcterms:modified xsi:type="dcterms:W3CDTF">2023-12-11T14:14:00Z</dcterms:modified>
</cp:coreProperties>
</file>