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FC98" w14:textId="3F98136E" w:rsidR="00704B18" w:rsidRDefault="00704B18">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p w14:paraId="351B0A24" w14:textId="77777777" w:rsidR="00704B18" w:rsidRDefault="00704B18">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p w14:paraId="6960E662" w14:textId="77777777" w:rsidR="00704B18" w:rsidRDefault="00000000">
      <w:pPr>
        <w:spacing w:line="240" w:lineRule="auto"/>
        <w:ind w:left="1" w:hanging="3"/>
        <w:jc w:val="center"/>
        <w:rPr>
          <w:rFonts w:ascii="Times New Roman" w:eastAsia="Times New Roman" w:hAnsi="Times New Roman" w:cs="Times New Roman"/>
          <w:sz w:val="28"/>
          <w:szCs w:val="28"/>
        </w:rPr>
      </w:pPr>
      <w:r>
        <w:rPr>
          <w:rFonts w:ascii="Eras Medium ITC" w:eastAsia="Eras Medium ITC" w:hAnsi="Eras Medium ITC" w:cs="Eras Medium ITC"/>
          <w:b/>
          <w:color w:val="5F497A"/>
          <w:sz w:val="28"/>
          <w:szCs w:val="28"/>
        </w:rPr>
        <w:t>CRITERIOS DE EVALUACIÓN, DE PROMOCIÓN Y DE TITULACIÓN. HERRAMIENTAS/INSTRUMENTOS DE EVALUACIÓN. CURSO 2023-24</w:t>
      </w:r>
    </w:p>
    <w:p w14:paraId="45733F9A" w14:textId="77777777" w:rsidR="00704B18" w:rsidRDefault="00704B18">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p w14:paraId="715BD667" w14:textId="77777777" w:rsidR="00704B18" w:rsidRDefault="00704B18">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tbl>
      <w:tblPr>
        <w:tblStyle w:val="afffff3"/>
        <w:tblW w:w="1021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7275"/>
      </w:tblGrid>
      <w:tr w:rsidR="00704B18" w14:paraId="411EB6AE" w14:textId="77777777">
        <w:trPr>
          <w:cantSplit/>
          <w:trHeight w:val="270"/>
          <w:tblHeader/>
        </w:trPr>
        <w:tc>
          <w:tcPr>
            <w:tcW w:w="2940" w:type="dxa"/>
            <w:shd w:val="clear" w:color="auto" w:fill="B4A7D6"/>
            <w:vAlign w:val="center"/>
          </w:tcPr>
          <w:p w14:paraId="6B3D16FD" w14:textId="77777777" w:rsidR="00704B18" w:rsidRDefault="00000000">
            <w:pPr>
              <w:ind w:left="1" w:hanging="3"/>
              <w:rPr>
                <w:rFonts w:ascii="Calibri" w:eastAsia="Calibri" w:hAnsi="Calibri" w:cs="Calibri"/>
                <w:sz w:val="28"/>
                <w:szCs w:val="28"/>
                <w:shd w:val="clear" w:color="auto" w:fill="9900FF"/>
              </w:rPr>
            </w:pPr>
            <w:r>
              <w:rPr>
                <w:rFonts w:ascii="Calibri" w:eastAsia="Calibri" w:hAnsi="Calibri" w:cs="Calibri"/>
                <w:b/>
                <w:sz w:val="28"/>
                <w:szCs w:val="28"/>
              </w:rPr>
              <w:t>DEPARTAMENTO</w:t>
            </w:r>
          </w:p>
        </w:tc>
        <w:tc>
          <w:tcPr>
            <w:tcW w:w="7275" w:type="dxa"/>
            <w:vAlign w:val="center"/>
          </w:tcPr>
          <w:p w14:paraId="21A7E591" w14:textId="39DBD4B0" w:rsidR="00704B18" w:rsidRDefault="00C0223E">
            <w:pPr>
              <w:keepNext/>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Geografía e Historia /Economía</w:t>
            </w:r>
          </w:p>
        </w:tc>
      </w:tr>
      <w:tr w:rsidR="00704B18" w14:paraId="14DC2F09" w14:textId="77777777">
        <w:trPr>
          <w:cantSplit/>
          <w:trHeight w:val="277"/>
          <w:tblHeader/>
        </w:trPr>
        <w:tc>
          <w:tcPr>
            <w:tcW w:w="2940" w:type="dxa"/>
            <w:shd w:val="clear" w:color="auto" w:fill="B4A7D6"/>
            <w:vAlign w:val="center"/>
          </w:tcPr>
          <w:p w14:paraId="5253043B" w14:textId="77777777" w:rsidR="00704B18" w:rsidRDefault="00000000">
            <w:pPr>
              <w:ind w:left="1" w:hanging="3"/>
              <w:rPr>
                <w:rFonts w:ascii="Calibri" w:eastAsia="Calibri" w:hAnsi="Calibri" w:cs="Calibri"/>
                <w:sz w:val="28"/>
                <w:szCs w:val="28"/>
              </w:rPr>
            </w:pPr>
            <w:r>
              <w:rPr>
                <w:rFonts w:ascii="Calibri" w:eastAsia="Calibri" w:hAnsi="Calibri" w:cs="Calibri"/>
                <w:b/>
                <w:sz w:val="28"/>
                <w:szCs w:val="28"/>
              </w:rPr>
              <w:t>CURSO/MODALIDAD</w:t>
            </w:r>
          </w:p>
        </w:tc>
        <w:tc>
          <w:tcPr>
            <w:tcW w:w="7275" w:type="dxa"/>
            <w:vAlign w:val="center"/>
          </w:tcPr>
          <w:p w14:paraId="55D62F2A" w14:textId="5B91C7FC" w:rsidR="00704B18" w:rsidRDefault="00C0223E">
            <w:pPr>
              <w:ind w:left="0" w:hanging="2"/>
              <w:rPr>
                <w:rFonts w:ascii="Calibri" w:eastAsia="Calibri" w:hAnsi="Calibri" w:cs="Calibri"/>
                <w:sz w:val="22"/>
                <w:szCs w:val="22"/>
              </w:rPr>
            </w:pPr>
            <w:r>
              <w:rPr>
                <w:rFonts w:ascii="Calibri" w:eastAsia="Calibri" w:hAnsi="Calibri" w:cs="Calibri"/>
                <w:sz w:val="22"/>
                <w:szCs w:val="22"/>
              </w:rPr>
              <w:t>2º Bachillerato</w:t>
            </w:r>
          </w:p>
        </w:tc>
      </w:tr>
    </w:tbl>
    <w:p w14:paraId="5E051867" w14:textId="77777777" w:rsidR="00704B18" w:rsidRDefault="00704B18">
      <w:pPr>
        <w:ind w:left="0" w:hanging="2"/>
        <w:rPr>
          <w:rFonts w:ascii="Calibri" w:eastAsia="Calibri" w:hAnsi="Calibri" w:cs="Calibri"/>
          <w:sz w:val="22"/>
          <w:szCs w:val="22"/>
        </w:rPr>
      </w:pPr>
    </w:p>
    <w:tbl>
      <w:tblPr>
        <w:tblStyle w:val="afffff4"/>
        <w:tblW w:w="1026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704B18" w14:paraId="23D6F38E" w14:textId="77777777">
        <w:trPr>
          <w:cantSplit/>
          <w:tblHeader/>
        </w:trPr>
        <w:tc>
          <w:tcPr>
            <w:tcW w:w="10260" w:type="dxa"/>
            <w:shd w:val="clear" w:color="auto" w:fill="B4A7D6"/>
          </w:tcPr>
          <w:p w14:paraId="048600BD" w14:textId="77777777" w:rsidR="00704B18" w:rsidRDefault="00000000">
            <w:pPr>
              <w:keepNext/>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MATERIA</w:t>
            </w:r>
          </w:p>
        </w:tc>
      </w:tr>
      <w:tr w:rsidR="00704B18" w14:paraId="07170000" w14:textId="77777777">
        <w:trPr>
          <w:cantSplit/>
          <w:tblHeader/>
        </w:trPr>
        <w:tc>
          <w:tcPr>
            <w:tcW w:w="10260" w:type="dxa"/>
          </w:tcPr>
          <w:p w14:paraId="084A5E77" w14:textId="77777777" w:rsidR="00704B18" w:rsidRDefault="00704B18">
            <w:pPr>
              <w:keepNext/>
              <w:pBdr>
                <w:top w:val="nil"/>
                <w:left w:val="nil"/>
                <w:bottom w:val="nil"/>
                <w:right w:val="nil"/>
                <w:between w:val="nil"/>
              </w:pBdr>
              <w:spacing w:line="240" w:lineRule="auto"/>
              <w:ind w:left="0" w:hanging="2"/>
              <w:jc w:val="center"/>
              <w:rPr>
                <w:rFonts w:ascii="Calibri" w:eastAsia="Calibri" w:hAnsi="Calibri" w:cs="Calibri"/>
                <w:sz w:val="22"/>
                <w:szCs w:val="22"/>
              </w:rPr>
            </w:pPr>
          </w:p>
          <w:p w14:paraId="2816A079" w14:textId="2A8B969A" w:rsidR="00704B18" w:rsidRDefault="00C0223E">
            <w:pPr>
              <w:keepNext/>
              <w:pBdr>
                <w:top w:val="nil"/>
                <w:left w:val="nil"/>
                <w:bottom w:val="nil"/>
                <w:right w:val="nil"/>
                <w:between w:val="nil"/>
              </w:pBdr>
              <w:spacing w:line="240" w:lineRule="auto"/>
              <w:ind w:left="0" w:hanging="2"/>
              <w:jc w:val="center"/>
              <w:rPr>
                <w:rFonts w:ascii="Calibri" w:eastAsia="Calibri" w:hAnsi="Calibri" w:cs="Calibri"/>
                <w:sz w:val="22"/>
                <w:szCs w:val="22"/>
              </w:rPr>
            </w:pPr>
            <w:r>
              <w:rPr>
                <w:rFonts w:ascii="Calibri" w:eastAsia="Calibri" w:hAnsi="Calibri" w:cs="Calibri"/>
                <w:sz w:val="22"/>
                <w:szCs w:val="22"/>
              </w:rPr>
              <w:t xml:space="preserve">Historia de España </w:t>
            </w:r>
          </w:p>
        </w:tc>
      </w:tr>
    </w:tbl>
    <w:p w14:paraId="1867C2C4" w14:textId="77777777" w:rsidR="00704B18" w:rsidRDefault="00704B18">
      <w:pPr>
        <w:ind w:left="0" w:hanging="2"/>
        <w:rPr>
          <w:rFonts w:ascii="Calibri" w:eastAsia="Calibri" w:hAnsi="Calibri" w:cs="Calibri"/>
          <w:sz w:val="22"/>
          <w:szCs w:val="22"/>
        </w:rPr>
      </w:pPr>
    </w:p>
    <w:tbl>
      <w:tblPr>
        <w:tblStyle w:val="afffff5"/>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04B18" w14:paraId="38E3EB5C" w14:textId="77777777">
        <w:trPr>
          <w:cantSplit/>
          <w:trHeight w:val="260"/>
          <w:tblHeader/>
        </w:trPr>
        <w:tc>
          <w:tcPr>
            <w:tcW w:w="10275" w:type="dxa"/>
            <w:shd w:val="clear" w:color="auto" w:fill="B4A7D6"/>
          </w:tcPr>
          <w:p w14:paraId="5FA7869C" w14:textId="77777777" w:rsidR="00704B18" w:rsidRDefault="00000000">
            <w:pPr>
              <w:ind w:left="1" w:hanging="3"/>
              <w:jc w:val="center"/>
              <w:rPr>
                <w:rFonts w:ascii="Calibri" w:eastAsia="Calibri" w:hAnsi="Calibri" w:cs="Calibri"/>
                <w:sz w:val="28"/>
                <w:szCs w:val="28"/>
              </w:rPr>
            </w:pPr>
            <w:r>
              <w:rPr>
                <w:rFonts w:ascii="Calibri" w:eastAsia="Calibri" w:hAnsi="Calibri" w:cs="Calibri"/>
                <w:b/>
                <w:sz w:val="28"/>
                <w:szCs w:val="28"/>
              </w:rPr>
              <w:t>PROFESORADO</w:t>
            </w:r>
          </w:p>
        </w:tc>
      </w:tr>
      <w:tr w:rsidR="00704B18" w14:paraId="459405DD" w14:textId="77777777">
        <w:trPr>
          <w:cantSplit/>
          <w:trHeight w:val="412"/>
          <w:tblHeader/>
        </w:trPr>
        <w:tc>
          <w:tcPr>
            <w:tcW w:w="10275" w:type="dxa"/>
          </w:tcPr>
          <w:p w14:paraId="1AC8F65A" w14:textId="2045810D" w:rsidR="00704B18" w:rsidRDefault="00704B18">
            <w:pPr>
              <w:ind w:left="0" w:hanging="2"/>
              <w:jc w:val="center"/>
              <w:rPr>
                <w:rFonts w:ascii="Calibri" w:eastAsia="Calibri" w:hAnsi="Calibri" w:cs="Calibri"/>
                <w:sz w:val="22"/>
                <w:szCs w:val="22"/>
              </w:rPr>
            </w:pPr>
          </w:p>
          <w:p w14:paraId="2A9F8A93" w14:textId="1F7D2D74" w:rsidR="00704B18" w:rsidRDefault="00C0223E">
            <w:pPr>
              <w:ind w:left="0" w:hanging="2"/>
              <w:jc w:val="center"/>
              <w:rPr>
                <w:rFonts w:ascii="Calibri" w:eastAsia="Calibri" w:hAnsi="Calibri" w:cs="Calibri"/>
                <w:sz w:val="22"/>
                <w:szCs w:val="22"/>
              </w:rPr>
            </w:pPr>
            <w:r>
              <w:rPr>
                <w:rFonts w:ascii="Calibri" w:eastAsia="Calibri" w:hAnsi="Calibri" w:cs="Calibri"/>
                <w:sz w:val="22"/>
                <w:szCs w:val="22"/>
              </w:rPr>
              <w:t>Arcángel Bedmar</w:t>
            </w:r>
          </w:p>
        </w:tc>
      </w:tr>
    </w:tbl>
    <w:p w14:paraId="5AB1CEAB" w14:textId="77777777" w:rsidR="00704B18" w:rsidRDefault="00704B18">
      <w:pPr>
        <w:ind w:left="0" w:hanging="2"/>
        <w:rPr>
          <w:rFonts w:ascii="Calibri" w:eastAsia="Calibri" w:hAnsi="Calibri" w:cs="Calibri"/>
          <w:b/>
        </w:rPr>
      </w:pPr>
    </w:p>
    <w:p w14:paraId="725258B9" w14:textId="77777777" w:rsidR="00704B18" w:rsidRDefault="00704B18">
      <w:pPr>
        <w:ind w:left="0" w:hanging="2"/>
      </w:pPr>
    </w:p>
    <w:tbl>
      <w:tblPr>
        <w:tblStyle w:val="afffff6"/>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04B18" w14:paraId="3A36584E" w14:textId="77777777">
        <w:trPr>
          <w:cantSplit/>
          <w:trHeight w:val="260"/>
          <w:tblHeader/>
        </w:trPr>
        <w:tc>
          <w:tcPr>
            <w:tcW w:w="10275" w:type="dxa"/>
            <w:tcBorders>
              <w:bottom w:val="single" w:sz="4" w:space="0" w:color="000000"/>
            </w:tcBorders>
            <w:shd w:val="clear" w:color="auto" w:fill="B4A7D6"/>
          </w:tcPr>
          <w:p w14:paraId="5C22B2E8" w14:textId="77777777" w:rsidR="00704B18" w:rsidRDefault="00000000">
            <w:pPr>
              <w:keepNext/>
              <w:pBdr>
                <w:top w:val="nil"/>
                <w:left w:val="nil"/>
                <w:bottom w:val="nil"/>
                <w:right w:val="nil"/>
                <w:between w:val="nil"/>
              </w:pBdr>
              <w:spacing w:line="240" w:lineRule="auto"/>
              <w:ind w:left="1" w:hanging="3"/>
              <w:rPr>
                <w:rFonts w:ascii="Calibri" w:eastAsia="Calibri" w:hAnsi="Calibri" w:cs="Calibri"/>
                <w:b/>
                <w:i/>
                <w:color w:val="000000"/>
                <w:sz w:val="28"/>
                <w:szCs w:val="28"/>
              </w:rPr>
            </w:pPr>
            <w:bookmarkStart w:id="0" w:name="_heading=h.i8tfz88n9kte" w:colFirst="0" w:colLast="0"/>
            <w:bookmarkEnd w:id="0"/>
            <w:r>
              <w:rPr>
                <w:rFonts w:ascii="Calibri" w:eastAsia="Calibri" w:hAnsi="Calibri" w:cs="Calibri"/>
                <w:b/>
                <w:i/>
                <w:color w:val="000000"/>
                <w:sz w:val="28"/>
                <w:szCs w:val="28"/>
              </w:rPr>
              <w:t>1. Criterios de evaluación</w:t>
            </w:r>
          </w:p>
        </w:tc>
      </w:tr>
    </w:tbl>
    <w:p w14:paraId="51E68300" w14:textId="77777777" w:rsidR="00704B18" w:rsidRDefault="00704B18">
      <w:pPr>
        <w:ind w:left="0" w:hanging="2"/>
      </w:pPr>
    </w:p>
    <w:p w14:paraId="6F9A25C2" w14:textId="775C88E8" w:rsidR="00C0223E" w:rsidRDefault="00C0223E" w:rsidP="00C0223E">
      <w:pPr>
        <w:ind w:left="0" w:hanging="2"/>
        <w:jc w:val="both"/>
      </w:pPr>
      <w:r w:rsidRPr="00C0223E">
        <w:t xml:space="preserve">Según la Orden de 30 de mayo de 2023, los criterios de evaluación (que hemos relacionado con las competencias clave y específicas, además de los saberes básicos) serán los siguientes: </w:t>
      </w:r>
    </w:p>
    <w:p w14:paraId="07A778E5" w14:textId="77777777" w:rsidR="00C0223E" w:rsidRPr="00C0223E" w:rsidRDefault="00C0223E" w:rsidP="00C0223E">
      <w:pPr>
        <w:ind w:left="0" w:hanging="2"/>
      </w:pPr>
      <w:r w:rsidRPr="00C0223E">
        <w:t xml:space="preserve"> </w:t>
      </w:r>
    </w:p>
    <w:p w14:paraId="3ED58E95" w14:textId="77777777" w:rsidR="00C0223E" w:rsidRPr="00C0223E" w:rsidRDefault="00C0223E" w:rsidP="00C0223E">
      <w:pPr>
        <w:ind w:left="0" w:hanging="2"/>
        <w:jc w:val="both"/>
      </w:pPr>
      <w:r w:rsidRPr="00C0223E">
        <w:rPr>
          <w:b/>
          <w:bCs/>
        </w:rPr>
        <w:t>1</w:t>
      </w:r>
      <w:r w:rsidRPr="00C0223E">
        <w:t>. Valorar los movimientos y acciones que han promovido las libertades en la Historia de España, utilizando términos y conceptos históricos, a través del análisis comparado de los distintos regímenes políticos, para reconocer el legado democrático de la Constitución de 1978 como fundamento de nuestra convivencia y garantía de nuestros derechos. CCL2, CPSAA1.2, CPSAA3.1, CC1, CC2.</w:t>
      </w:r>
    </w:p>
    <w:p w14:paraId="21CBB61C" w14:textId="77777777" w:rsidR="00C0223E" w:rsidRPr="00C0223E" w:rsidRDefault="00C0223E" w:rsidP="00C0223E">
      <w:pPr>
        <w:ind w:left="0" w:hanging="2"/>
        <w:jc w:val="both"/>
      </w:pPr>
    </w:p>
    <w:p w14:paraId="1F160AB1" w14:textId="77777777" w:rsidR="00C0223E" w:rsidRPr="00C0223E" w:rsidRDefault="00C0223E" w:rsidP="00C0223E">
      <w:pPr>
        <w:ind w:left="0" w:hanging="2"/>
        <w:jc w:val="both"/>
      </w:pPr>
      <w:r w:rsidRPr="00C0223E">
        <w:t>1.1. Reconocer el legado democrático y las acciones en favor de la libertad, identificando y comparando los distintos regímenes políticos desde la quiebra de la monarquía absoluta y los inicios de la España liberal a la actualidad, y sus respectivos textos constitucionales, utilizando adecuadamente términos y conceptos históricos, valorando el grado y alcance de los derechos y libertades que reconocen y la aplicación efectiva de los mismos. HESP.2.A.7. HESP.2.B.1.</w:t>
      </w:r>
    </w:p>
    <w:p w14:paraId="2BA4FCD2" w14:textId="77777777" w:rsidR="00C0223E" w:rsidRPr="00C0223E" w:rsidRDefault="00C0223E" w:rsidP="00C0223E">
      <w:pPr>
        <w:ind w:left="0" w:hanging="2"/>
        <w:jc w:val="both"/>
      </w:pPr>
      <w:r w:rsidRPr="00C0223E">
        <w:t xml:space="preserve">1.2. Identificar y valorar el papel de la Transición en el establecimiento de la democracia actual y la Constitución de 1978 como fundamento y garantía de los derechos y libertades de los españoles, a través de la elaboración de juicios propios acerca de los principales debates que afectan al sistema constitucional, mediante el dominio de procesos de búsqueda y tratamiento de la información. </w:t>
      </w:r>
    </w:p>
    <w:p w14:paraId="7383D9EE" w14:textId="77777777" w:rsidR="00C0223E" w:rsidRPr="00C0223E" w:rsidRDefault="00C0223E" w:rsidP="00C0223E">
      <w:pPr>
        <w:ind w:left="0" w:hanging="2"/>
        <w:jc w:val="both"/>
      </w:pPr>
      <w:r w:rsidRPr="00C0223E">
        <w:t>Saberes básicos: HESP.2.B.5. HESP.2.C.1.</w:t>
      </w:r>
    </w:p>
    <w:p w14:paraId="244C70E8" w14:textId="77777777" w:rsidR="00C0223E" w:rsidRPr="00C0223E" w:rsidRDefault="00C0223E" w:rsidP="00C0223E">
      <w:pPr>
        <w:ind w:left="0" w:hanging="2"/>
        <w:jc w:val="both"/>
      </w:pPr>
    </w:p>
    <w:p w14:paraId="2394280F" w14:textId="77777777" w:rsidR="00C0223E" w:rsidRPr="00C0223E" w:rsidRDefault="00C0223E" w:rsidP="00C0223E">
      <w:pPr>
        <w:ind w:left="0" w:hanging="2"/>
        <w:jc w:val="both"/>
      </w:pPr>
      <w:r w:rsidRPr="00C0223E">
        <w:rPr>
          <w:b/>
          <w:bCs/>
        </w:rPr>
        <w:t>2</w:t>
      </w:r>
      <w:r w:rsidRPr="00C0223E">
        <w:t xml:space="preserve">. Reconocer y valorar la diversidad identitaria de nuestro país, por medio del contraste de la información y la revisión crítica de fuentes, tomando conciencia del papel que juega en la actualidad, para respetar los sentimientos de pertenencia, la existencia de identidades </w:t>
      </w:r>
      <w:r w:rsidRPr="00C0223E">
        <w:lastRenderedPageBreak/>
        <w:t>múltiples, y las normas y símbolos que establece nuestro marco común de convivencia. CCL3, CPSAA3.1, CC1, CC2, CC3, CCEC1, CCEC2</w:t>
      </w:r>
    </w:p>
    <w:p w14:paraId="05D18EA3" w14:textId="77777777" w:rsidR="00C0223E" w:rsidRPr="00C0223E" w:rsidRDefault="00C0223E" w:rsidP="00C0223E">
      <w:pPr>
        <w:ind w:left="0" w:hanging="2"/>
        <w:jc w:val="both"/>
      </w:pPr>
    </w:p>
    <w:p w14:paraId="5359A5C2" w14:textId="77777777" w:rsidR="00C0223E" w:rsidRPr="00C0223E" w:rsidRDefault="00C0223E" w:rsidP="00C0223E">
      <w:pPr>
        <w:ind w:left="0" w:hanging="2"/>
        <w:jc w:val="both"/>
      </w:pPr>
      <w:r w:rsidRPr="00C0223E">
        <w:t>2.1. Contrastar la información y desarrollar procesos de crítica de fuentes, analizando el origen y la evolución de las identidades nacionales y regionales que se han formado en la historia de España, reconociendo la pluralidad identitaria de nuestro país, así como los distintos sentimientos de pertenencia. HESP.2.B.2. HESP.2.C.2</w:t>
      </w:r>
    </w:p>
    <w:p w14:paraId="3138D334" w14:textId="77777777" w:rsidR="00C0223E" w:rsidRPr="00C0223E" w:rsidRDefault="00C0223E" w:rsidP="00C0223E">
      <w:pPr>
        <w:ind w:left="0" w:hanging="2"/>
        <w:jc w:val="both"/>
      </w:pPr>
      <w:r w:rsidRPr="00C0223E">
        <w:t>2.2. Identificar los distintos procesos políticos, culturales y administrativos que han tenido lugar en la formación del estado y en la construcción de la nación española, analizando críticamente los logros y resultados de las acciones llevadas a cabo y de las reacciones generadas, conociendo y respetando las identidades múltiples y los símbolos y normas comunes que forman el marco actual de convivencia. HESP.2.A.3. HESP.2.B.6. HESP.2.C.3.</w:t>
      </w:r>
    </w:p>
    <w:p w14:paraId="6C0B2F8E" w14:textId="77777777" w:rsidR="00C0223E" w:rsidRPr="00C0223E" w:rsidRDefault="00C0223E" w:rsidP="00C0223E">
      <w:pPr>
        <w:ind w:left="0" w:hanging="2"/>
        <w:jc w:val="both"/>
      </w:pPr>
      <w:r w:rsidRPr="00C0223E">
        <w:t>2.3. Conocer el nacimiento y desarrollo del nacionalismo andaluz analizando la importancia histórica de Blas Infante y la consecución del proceso autonómico. HESP.2.A.4. HESP.2.B.7.</w:t>
      </w:r>
    </w:p>
    <w:p w14:paraId="042C473C" w14:textId="77777777" w:rsidR="00C0223E" w:rsidRPr="00C0223E" w:rsidRDefault="00C0223E" w:rsidP="00C0223E">
      <w:pPr>
        <w:ind w:left="0" w:hanging="2"/>
        <w:jc w:val="both"/>
      </w:pPr>
    </w:p>
    <w:p w14:paraId="31B58AF6" w14:textId="77777777" w:rsidR="00C0223E" w:rsidRPr="00C0223E" w:rsidRDefault="00C0223E" w:rsidP="00C0223E">
      <w:pPr>
        <w:ind w:left="0" w:hanging="2"/>
        <w:jc w:val="both"/>
      </w:pPr>
      <w:r w:rsidRPr="00C0223E">
        <w:rPr>
          <w:b/>
          <w:bCs/>
        </w:rPr>
        <w:t>3</w:t>
      </w:r>
      <w:r w:rsidRPr="00C0223E">
        <w:t>. Analizar y valorar la idea de progreso desde la perspectiva del bienestar social y de la sostenibilidad, a través de la interpretación de los factores modernizadores de la economía española, el uso de métodos cuantitativos y el análisis crítico de las desigualdades sociales y territoriales, para considerar el emprendimiento, la innovación y el aprendizaje permanente como elementos fundamentales en un entorno económico y profesional en constante cambio. STEM1, STEM4, CD2, CPSAA1.2, CPSAA2, CC1, CC4</w:t>
      </w:r>
    </w:p>
    <w:p w14:paraId="1CA0C1C2" w14:textId="77777777" w:rsidR="00C0223E" w:rsidRPr="00C0223E" w:rsidRDefault="00C0223E" w:rsidP="00C0223E">
      <w:pPr>
        <w:ind w:left="0" w:hanging="2"/>
        <w:jc w:val="both"/>
      </w:pPr>
    </w:p>
    <w:p w14:paraId="5E35E067" w14:textId="77777777" w:rsidR="00C0223E" w:rsidRPr="00C0223E" w:rsidRDefault="00C0223E" w:rsidP="00C0223E">
      <w:pPr>
        <w:ind w:left="0" w:hanging="2"/>
        <w:jc w:val="both"/>
      </w:pPr>
      <w:r w:rsidRPr="00C0223E">
        <w:t>3.1. Analizar la evolución económica de España y Andalucía, sus ritmos y ciclos de crecimiento, valiéndose del manejo de datos, representaciones gráficas y recursos digitales, interpretando su particular proceso de modernización en el contexto de los países de su entorno y los debates historiográficos sobre el desarrollo industrial, considerando el emprendimiento, la innovación y el aprendizaje permanente como forma de afrontar los retos de un entorno económico y profesional en constante cambio. HESP.2.A.9. HESP.2.A.11. HESP.2.B.3.</w:t>
      </w:r>
    </w:p>
    <w:p w14:paraId="53EEC0B5" w14:textId="77777777" w:rsidR="00C0223E" w:rsidRPr="00C0223E" w:rsidRDefault="00C0223E" w:rsidP="00C0223E">
      <w:pPr>
        <w:ind w:left="0" w:hanging="2"/>
        <w:jc w:val="both"/>
      </w:pPr>
      <w:r w:rsidRPr="00C0223E">
        <w:t>3.2. Reflexionar sobre las causas y los problemas que han generado las distintas formas de propiedad de la tierra en España y conocer las distintas consecuencias que dicha problemática ha suscitado a lo largo de la Historia de España. HESP.2.C.4. HESP.2.A.10. HESP.2.A.11.</w:t>
      </w:r>
    </w:p>
    <w:p w14:paraId="0963D22C" w14:textId="77777777" w:rsidR="00C0223E" w:rsidRPr="00C0223E" w:rsidRDefault="00C0223E" w:rsidP="00C0223E">
      <w:pPr>
        <w:ind w:left="0" w:hanging="2"/>
        <w:jc w:val="both"/>
      </w:pPr>
      <w:r w:rsidRPr="00C0223E">
        <w:t>3.3. Entender los distintos significados de la idea del progreso en sus contextos históricos, desarrollando el estudio multicausal de los modelos de desarrollo económico aplicados en la España contemporánea y analizando críticamente la idea de modernización, valorando sus efectos con relación a la desigualdad social, los desequilibrios territoriales, la degradación ambiental y las relaciones de dependencia, así como reflejando actitudes en favor de los Objetivos de Desarrollo Sostenible y los comportamientos ecosociales. HESP.2.B.8. HESP.2.C.5.</w:t>
      </w:r>
    </w:p>
    <w:p w14:paraId="5582A379" w14:textId="77777777" w:rsidR="00C0223E" w:rsidRPr="00C0223E" w:rsidRDefault="00C0223E" w:rsidP="00C0223E">
      <w:pPr>
        <w:ind w:left="0" w:hanging="2"/>
        <w:jc w:val="both"/>
      </w:pPr>
    </w:p>
    <w:p w14:paraId="0FC6295C" w14:textId="77777777" w:rsidR="00C0223E" w:rsidRPr="00C0223E" w:rsidRDefault="00C0223E" w:rsidP="00C0223E">
      <w:pPr>
        <w:ind w:left="0" w:hanging="2"/>
        <w:jc w:val="both"/>
      </w:pPr>
      <w:r w:rsidRPr="00C0223E">
        <w:rPr>
          <w:b/>
          <w:bCs/>
        </w:rPr>
        <w:t>4</w:t>
      </w:r>
      <w:r w:rsidRPr="00C0223E">
        <w:t>. Tomar conciencia de la diversidad social a través del análisis multidisciplinar de los cambios y continuidades de la sociedad española a lo largo del tiempo, la evolución de la población, los niveles y modos de vida, las condiciones laborales y los movimientos y conflictos sociales, para valorar el alcance de las medidas adoptadas y los progresos y limitaciones para avanzar en la igualdad, el bienestar, la justicia y la cohesión social. CCL2, CCL4, STEM4, CD1, CPSAA4, CC1, CC3, CCEC2.</w:t>
      </w:r>
    </w:p>
    <w:p w14:paraId="402D5E14" w14:textId="77777777" w:rsidR="00C0223E" w:rsidRPr="00C0223E" w:rsidRDefault="00C0223E" w:rsidP="00C0223E">
      <w:pPr>
        <w:ind w:left="0" w:hanging="2"/>
        <w:jc w:val="both"/>
      </w:pPr>
    </w:p>
    <w:p w14:paraId="277EECD3" w14:textId="77777777" w:rsidR="00C0223E" w:rsidRPr="00C0223E" w:rsidRDefault="00C0223E" w:rsidP="00C0223E">
      <w:pPr>
        <w:ind w:left="0" w:hanging="2"/>
        <w:jc w:val="both"/>
      </w:pPr>
      <w:r w:rsidRPr="00C0223E">
        <w:t>4.1. Describir las grandes transformaciones sociales y los diferentes modos de organización y participación política que se han producido en España desde el paso del Antiguo Régimen a la nueva sociedad burguesa, analizando el surgimiento y evolución del concepto de ciudadanía y de las nuevas formas de sociabilidad, utilizando adecuadamente términos históricos y conceptos historiográficos, e identificando las desigualdades y la concentración del poder en determinados grupos sociales. HESP.2.A.12. HESP.2.A.14.</w:t>
      </w:r>
    </w:p>
    <w:p w14:paraId="4B502009" w14:textId="77777777" w:rsidR="00C0223E" w:rsidRPr="00C0223E" w:rsidRDefault="00C0223E" w:rsidP="00C0223E">
      <w:pPr>
        <w:ind w:left="0" w:hanging="2"/>
        <w:jc w:val="both"/>
      </w:pPr>
      <w:r w:rsidRPr="00C0223E">
        <w:t>4.2. Analizar de manera multidisciplinar la diversidad y la desigualdad social existente en la historia contemporánea de España, la evolución de la población y los cambios en las condiciones y modos de vida, interpretando las causas y motivos de la conflictividad social y su articulación en distintos movimientos sociales, considerando la acción motivada de los sujetos y las medidas de distinto tipo adoptadas por el estado. HESP.2.A.15. HESP.2.A.16</w:t>
      </w:r>
    </w:p>
    <w:p w14:paraId="5BE9DAC0" w14:textId="77777777" w:rsidR="00C0223E" w:rsidRPr="00C0223E" w:rsidRDefault="00C0223E" w:rsidP="00C0223E">
      <w:pPr>
        <w:ind w:left="0" w:hanging="2"/>
        <w:jc w:val="both"/>
      </w:pPr>
      <w:r w:rsidRPr="00C0223E">
        <w:t>4.3. Conocer la evolución demográfica española poniéndola, en relación con la realidad actual y futura, haciendo especial referencia al actual envejecimiento de la población y sus posibles consecuencias futuras. HESP.2.A.13. HESP.2.C.6.</w:t>
      </w:r>
    </w:p>
    <w:p w14:paraId="3579DDA7" w14:textId="77777777" w:rsidR="00C0223E" w:rsidRPr="00C0223E" w:rsidRDefault="00C0223E" w:rsidP="00C0223E">
      <w:pPr>
        <w:ind w:left="0" w:hanging="2"/>
        <w:jc w:val="both"/>
      </w:pPr>
      <w:r w:rsidRPr="00C0223E">
        <w:t>4.4. Deducir a través del estudio crítico de noticias y datos estadísticos la evolución del estado social, identificando los logros y retrocesos experimentados y las medidas adoptadas por el estado hasta el presente, la evolución de los niveles de vida y de bienestar, así como los límites y retos de futuro, desde una perspectiva solidaria en favor de los colectivos más vulnerables. HESP.2.A.17. HESP.2.B.4.</w:t>
      </w:r>
    </w:p>
    <w:p w14:paraId="1F392AB5" w14:textId="77777777" w:rsidR="00C0223E" w:rsidRPr="00C0223E" w:rsidRDefault="00C0223E" w:rsidP="00C0223E">
      <w:pPr>
        <w:ind w:left="0" w:hanging="2"/>
        <w:jc w:val="both"/>
      </w:pPr>
    </w:p>
    <w:p w14:paraId="6F282FD4" w14:textId="77777777" w:rsidR="00C0223E" w:rsidRPr="00C0223E" w:rsidRDefault="00C0223E" w:rsidP="00C0223E">
      <w:pPr>
        <w:ind w:left="0" w:hanging="2"/>
        <w:jc w:val="both"/>
      </w:pPr>
      <w:r w:rsidRPr="00C0223E">
        <w:rPr>
          <w:b/>
          <w:bCs/>
        </w:rPr>
        <w:t>5.</w:t>
      </w:r>
      <w:r w:rsidRPr="00C0223E">
        <w:t xml:space="preserve"> Analizar críticamente el papel de las creencias y de las ideologías en la articulación social, en el uso del poder y en la configuración de identidades y proyectos políticos contrapuestos, a través del estudio de fuentes primarias y textos historiográficos y la fundamentación de juicios propios, para debatir sobre problemas actuales, transferir conocimiento, valorar la diversidad cultural y mostrar actitudes respetuosas ante ideas legítimas diferentes a las propias. CCL3, STEM4, CPSAA3.1, CPSAA4, CC1, CC2, CC3, CCEC1.</w:t>
      </w:r>
    </w:p>
    <w:p w14:paraId="73BFBC31" w14:textId="77777777" w:rsidR="00C0223E" w:rsidRPr="00C0223E" w:rsidRDefault="00C0223E" w:rsidP="00C0223E">
      <w:pPr>
        <w:ind w:left="0" w:hanging="2"/>
        <w:jc w:val="both"/>
      </w:pPr>
    </w:p>
    <w:p w14:paraId="1DA39E76" w14:textId="77777777" w:rsidR="00C0223E" w:rsidRPr="00C0223E" w:rsidRDefault="00C0223E" w:rsidP="00C0223E">
      <w:pPr>
        <w:ind w:left="0" w:hanging="2"/>
        <w:jc w:val="both"/>
      </w:pPr>
      <w:r w:rsidRPr="00C0223E">
        <w:t>5.1. Referir el papel que han representado las creencias religiosas y las instituciones eclesiásticas en la configuración territorial y política de España, considerando críticamente aquellos momentos en los que ha primado la uniformidad y la intolerancia contra las minorías étnicas, religiosas o culturales. HESP.2.A.6. HESP.2.C.8.</w:t>
      </w:r>
    </w:p>
    <w:p w14:paraId="2902D5AF" w14:textId="77777777" w:rsidR="00C0223E" w:rsidRPr="00C0223E" w:rsidRDefault="00C0223E" w:rsidP="00C0223E">
      <w:pPr>
        <w:ind w:left="0" w:hanging="2"/>
        <w:jc w:val="both"/>
      </w:pPr>
      <w:r w:rsidRPr="00C0223E">
        <w:t>5.2. Generar opiniones argumentadas, debatir y transferir ideas y conocimientos sobre la función que han desempeñado las ideologías en la articulación social y política de la España contemporánea, comprendiendo y contextualizando dichos fenómenos a través de la lectura de textos historiográficos e identificando las principales culturas políticas que han ido sucediéndose, sus formas de organización y los diferentes proyectos políticos que representaban, expresando actitudes respetuosas ante ideas diferentes a las propias. HESP.2.A.8</w:t>
      </w:r>
    </w:p>
    <w:p w14:paraId="6CCC529E" w14:textId="77777777" w:rsidR="00C0223E" w:rsidRPr="00C0223E" w:rsidRDefault="00C0223E" w:rsidP="00C0223E">
      <w:pPr>
        <w:ind w:left="0" w:hanging="2"/>
        <w:jc w:val="both"/>
      </w:pPr>
      <w:r w:rsidRPr="00C0223E">
        <w:t>5.3. Emplear el rigor metodológico de la Historia en el estudio de las grandes reformas estructurales que acometió la II República, identificando sus logros y las distintas reacciones antidemocráticas que se produjeron y que derivaron en el golpe de Estado de 1936, aproximándose a la historiografía sobre la Guerra Civil y al marco conceptual del estudio de los sistemas totalitarios y autoritarios a través de la interpretación de la evolución del Franquismo. HESP.2.A.18. HESP.2.A.19.</w:t>
      </w:r>
    </w:p>
    <w:p w14:paraId="758A7281" w14:textId="77777777" w:rsidR="00C0223E" w:rsidRPr="00C0223E" w:rsidRDefault="00C0223E" w:rsidP="00C0223E">
      <w:pPr>
        <w:ind w:left="0" w:hanging="2"/>
        <w:jc w:val="both"/>
      </w:pPr>
    </w:p>
    <w:p w14:paraId="5B57A97C" w14:textId="77777777" w:rsidR="00C0223E" w:rsidRPr="00C0223E" w:rsidRDefault="00C0223E" w:rsidP="00C0223E">
      <w:pPr>
        <w:ind w:left="0" w:hanging="2"/>
        <w:jc w:val="both"/>
      </w:pPr>
      <w:r w:rsidRPr="00C0223E">
        <w:rPr>
          <w:b/>
          <w:bCs/>
        </w:rPr>
        <w:t>6</w:t>
      </w:r>
      <w:r w:rsidRPr="00C0223E">
        <w:t xml:space="preserve">. Interpretar el valor geoestratégico de España y su conexión con la historia mundial, señalando las analogías y singularidades de su evolución histórica en un contexto global cambiante, por medio de la búsqueda y el tratamiento de información, para avalar los </w:t>
      </w:r>
      <w:r w:rsidRPr="00C0223E">
        <w:lastRenderedPageBreak/>
        <w:t>compromisos de nuestro país en materias de cooperación y seguridad, promover actitudes solidarias y asumir los valores del europeísmo. STEM4, CPSAA1.1, CPSAA4, CC1, CC2, CC3, CCEC1, CCEC2.</w:t>
      </w:r>
    </w:p>
    <w:p w14:paraId="4D0DE62B" w14:textId="77777777" w:rsidR="00C0223E" w:rsidRPr="00C0223E" w:rsidRDefault="00C0223E" w:rsidP="00C0223E">
      <w:pPr>
        <w:ind w:left="0" w:hanging="2"/>
        <w:jc w:val="both"/>
      </w:pPr>
    </w:p>
    <w:p w14:paraId="2943DD95" w14:textId="77777777" w:rsidR="00C0223E" w:rsidRPr="00C0223E" w:rsidRDefault="00C0223E" w:rsidP="00C0223E">
      <w:pPr>
        <w:ind w:left="0" w:hanging="2"/>
        <w:jc w:val="both"/>
      </w:pPr>
      <w:r w:rsidRPr="00C0223E">
        <w:t>6.1. Señalar los retos globales y los principales compromisos del Estado español en la esfera internacional, así como los que se derivan de su integración en la Unión Europea, a través de procesos de búsqueda, selección y tratamiento de la información, así como del reconocimiento de los valores de la cooperación, la seguridad, la solidaridad, el europeísmo y el ejercicio de una ciudadanía ética digital. HESP.2.B.9.</w:t>
      </w:r>
    </w:p>
    <w:p w14:paraId="2B986E6D" w14:textId="77777777" w:rsidR="00C0223E" w:rsidRPr="00C0223E" w:rsidRDefault="00C0223E" w:rsidP="00C0223E">
      <w:pPr>
        <w:ind w:left="0" w:hanging="2"/>
        <w:jc w:val="both"/>
      </w:pPr>
      <w:r w:rsidRPr="00C0223E">
        <w:t>6.2. Reconocer el valor geoestratégico de la península ibérica, identificando el rico legado histórico y cultural generado a raíz de su conexión con procesos históricos relevantes, caracterizando las especificidades y singularidades de su evolución con respecto a otros países europeos y los estereotipos asociados a las mismas, así como la influencia de las relaciones internacionales. HESP.2.A.2. HESP.2.A.5.</w:t>
      </w:r>
    </w:p>
    <w:p w14:paraId="11D12883" w14:textId="77777777" w:rsidR="00C0223E" w:rsidRPr="00C0223E" w:rsidRDefault="00C0223E" w:rsidP="00C0223E">
      <w:pPr>
        <w:ind w:left="0" w:hanging="2"/>
        <w:jc w:val="both"/>
      </w:pPr>
    </w:p>
    <w:p w14:paraId="200BE60F" w14:textId="77777777" w:rsidR="00C0223E" w:rsidRPr="00C0223E" w:rsidRDefault="00C0223E" w:rsidP="00C0223E">
      <w:pPr>
        <w:ind w:left="0" w:hanging="2"/>
        <w:jc w:val="both"/>
      </w:pPr>
      <w:r w:rsidRPr="00C0223E">
        <w:rPr>
          <w:b/>
          <w:bCs/>
        </w:rPr>
        <w:t>7</w:t>
      </w:r>
      <w:r w:rsidRPr="00C0223E">
        <w:t>. Incorporar la perspectiva de género en el análisis de la España actual y de su historia, a través de la contextualización histórica de fuentes literarias y artísticas y la investigación sobre el movimiento feminista, para reconocer su presencia en la historia y promover actitudes en defensa de la igualdad efectiva de mujeres y hombres. CCL4, CPSAA1.1, CPSAA1.2, CPSAA3.1, CC2, CC3, CCEC1, CCEC2.</w:t>
      </w:r>
    </w:p>
    <w:p w14:paraId="03859755" w14:textId="77777777" w:rsidR="00C0223E" w:rsidRPr="00C0223E" w:rsidRDefault="00C0223E" w:rsidP="00C0223E">
      <w:pPr>
        <w:ind w:left="0" w:hanging="2"/>
        <w:jc w:val="both"/>
      </w:pPr>
    </w:p>
    <w:p w14:paraId="370B4F1A" w14:textId="77777777" w:rsidR="00C0223E" w:rsidRPr="00C0223E" w:rsidRDefault="00C0223E" w:rsidP="00C0223E">
      <w:pPr>
        <w:ind w:left="0" w:hanging="2"/>
        <w:jc w:val="both"/>
      </w:pPr>
      <w:r w:rsidRPr="00C0223E">
        <w:t>7.1. Introducir la perspectiva de género en la observación y análisis de la realidad histórica y actual, identificando los mecanismos de dominación que han generado y mantenido la desigualdad entre hombres y mujeres, los roles asignados y los espacios de actividad ocupados tradicionalmente por la mujer. HESP.2.A.20. HESP.2.A.21.</w:t>
      </w:r>
    </w:p>
    <w:p w14:paraId="47E66D44" w14:textId="77777777" w:rsidR="00C0223E" w:rsidRPr="00C0223E" w:rsidRDefault="00C0223E" w:rsidP="00C0223E">
      <w:pPr>
        <w:ind w:left="0" w:hanging="2"/>
        <w:jc w:val="both"/>
      </w:pPr>
      <w:r w:rsidRPr="00C0223E">
        <w:t>7.2. Constatar el papel relegado de la mujer en la historia, analizando fuentes literarias y artísticas, valorando las acciones en favor de la emancipación de la mujer y del movimiento feminista y recuperando figuras individuales y colectivas como protagonistas silenciadas y omitidas. HESP.2.A.22. HESP.2.A.23. HESP.2.A.24. HESP.2.C.11</w:t>
      </w:r>
    </w:p>
    <w:p w14:paraId="6DFA94DB" w14:textId="77777777" w:rsidR="00C0223E" w:rsidRPr="00C0223E" w:rsidRDefault="00C0223E" w:rsidP="00C0223E">
      <w:pPr>
        <w:ind w:left="0" w:hanging="2"/>
        <w:jc w:val="both"/>
      </w:pPr>
      <w:r w:rsidRPr="00C0223E">
        <w:t>7.3. Conocer la biografía de mujeres andaluzas relevantes para la Historia Contemporánea de España y Andalucía: Mariana Pineda, Carmen de Burgos, María Zambrano o Ángela de la Cruz, entre otras. HESP.2.B.11.</w:t>
      </w:r>
    </w:p>
    <w:p w14:paraId="412D7684" w14:textId="77777777" w:rsidR="00C0223E" w:rsidRPr="00C0223E" w:rsidRDefault="00C0223E" w:rsidP="00C0223E">
      <w:pPr>
        <w:ind w:left="0" w:hanging="2"/>
        <w:jc w:val="both"/>
      </w:pPr>
    </w:p>
    <w:p w14:paraId="08288198" w14:textId="77777777" w:rsidR="00C0223E" w:rsidRPr="00C0223E" w:rsidRDefault="00C0223E" w:rsidP="00C0223E">
      <w:pPr>
        <w:ind w:left="0" w:hanging="2"/>
        <w:jc w:val="both"/>
      </w:pPr>
      <w:r w:rsidRPr="00C0223E">
        <w:rPr>
          <w:b/>
          <w:bCs/>
        </w:rPr>
        <w:t>8</w:t>
      </w:r>
      <w:r w:rsidRPr="00C0223E">
        <w:t>. Valorar el patrimonio histórico y cultural como legado y expresión de la memoria colectiva, identificando los significados y usos públicos que reciben determinados acontecimientos y procesos del pasado, por medio del análisis de la historiografía y del pensamiento histórico para el desarrollo de la iniciativa, el trabajo en equipo, la creatividad y la implicación en cuestiones de interés social y cultural. STEM3, CPSAA1.1, CPSAA3.1, CPSAA3.2, CC1, CC3, CE3, CCEC3.2.</w:t>
      </w:r>
    </w:p>
    <w:p w14:paraId="15005D51" w14:textId="77777777" w:rsidR="00C0223E" w:rsidRPr="00C0223E" w:rsidRDefault="00C0223E" w:rsidP="00C0223E">
      <w:pPr>
        <w:ind w:left="0" w:hanging="2"/>
        <w:jc w:val="both"/>
      </w:pPr>
    </w:p>
    <w:p w14:paraId="4A08AFA3" w14:textId="77777777" w:rsidR="00C0223E" w:rsidRPr="00C0223E" w:rsidRDefault="00C0223E" w:rsidP="00C0223E">
      <w:pPr>
        <w:ind w:left="0" w:hanging="2"/>
        <w:jc w:val="both"/>
      </w:pPr>
      <w:r w:rsidRPr="00C0223E">
        <w:t>8.1. Realizar trabajos de indagación e investigación, iniciándose en la metodología histórica y la historiografía, generando productos relacionados con la memoria colectiva sobre acontecimientos, personajes o elementos patrimoniales de interés social o cultural del entorno local, poniendo en valor el patrimonio histórico y considerándolo un bien común que se debe proteger. HESP.2.A.1. HESP.2.C.12. HESP.2.B.12</w:t>
      </w:r>
    </w:p>
    <w:p w14:paraId="4A46D76E" w14:textId="77777777" w:rsidR="00C0223E" w:rsidRPr="00C0223E" w:rsidRDefault="00C0223E" w:rsidP="00C0223E">
      <w:pPr>
        <w:ind w:left="0" w:hanging="2"/>
        <w:jc w:val="both"/>
      </w:pPr>
      <w:r w:rsidRPr="00C0223E">
        <w:t>8.2. Conocer los principales elementos patrimoniales y producciones artísticas que nos han sido legadas, concibiéndolas como una herencia que hemos de conservar para las generaciones venideras. HESP.2.A.25. HESP.2.A.26.</w:t>
      </w:r>
    </w:p>
    <w:p w14:paraId="1AC38149" w14:textId="77777777" w:rsidR="00C0223E" w:rsidRPr="00C0223E" w:rsidRDefault="00C0223E" w:rsidP="00C0223E">
      <w:pPr>
        <w:ind w:left="0" w:hanging="2"/>
        <w:jc w:val="both"/>
      </w:pPr>
    </w:p>
    <w:tbl>
      <w:tblPr>
        <w:tblStyle w:val="afffff7"/>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04B18" w14:paraId="2E7B7A81" w14:textId="77777777">
        <w:trPr>
          <w:cantSplit/>
          <w:trHeight w:val="260"/>
          <w:tblHeader/>
        </w:trPr>
        <w:tc>
          <w:tcPr>
            <w:tcW w:w="10275" w:type="dxa"/>
            <w:tcBorders>
              <w:bottom w:val="single" w:sz="4" w:space="0" w:color="000000"/>
            </w:tcBorders>
            <w:shd w:val="clear" w:color="auto" w:fill="B4A7D6"/>
          </w:tcPr>
          <w:p w14:paraId="39312C41" w14:textId="77777777" w:rsidR="00704B18" w:rsidRDefault="00000000">
            <w:pPr>
              <w:keepNext/>
              <w:pBdr>
                <w:top w:val="nil"/>
                <w:left w:val="nil"/>
                <w:bottom w:val="nil"/>
                <w:right w:val="nil"/>
                <w:between w:val="nil"/>
              </w:pBdr>
              <w:spacing w:line="240" w:lineRule="auto"/>
              <w:ind w:left="1" w:hanging="3"/>
              <w:rPr>
                <w:rFonts w:ascii="Calibri" w:eastAsia="Calibri" w:hAnsi="Calibri" w:cs="Calibri"/>
                <w:b/>
                <w:i/>
                <w:color w:val="000000"/>
                <w:sz w:val="28"/>
                <w:szCs w:val="28"/>
              </w:rPr>
            </w:pPr>
            <w:bookmarkStart w:id="1" w:name="_heading=h.qbbjs2erf22c" w:colFirst="0" w:colLast="0"/>
            <w:bookmarkEnd w:id="1"/>
            <w:r>
              <w:rPr>
                <w:rFonts w:ascii="Courier New" w:eastAsia="Courier New" w:hAnsi="Courier New" w:cs="Courier New"/>
                <w:b/>
                <w:i/>
                <w:color w:val="000000"/>
                <w:sz w:val="28"/>
                <w:szCs w:val="28"/>
                <w:shd w:val="clear" w:color="auto" w:fill="B4A7D6"/>
              </w:rPr>
              <w:lastRenderedPageBreak/>
              <w:t>2</w:t>
            </w:r>
            <w:r>
              <w:rPr>
                <w:rFonts w:ascii="Calibri" w:eastAsia="Calibri" w:hAnsi="Calibri" w:cs="Calibri"/>
                <w:b/>
                <w:i/>
                <w:color w:val="000000"/>
                <w:sz w:val="28"/>
                <w:szCs w:val="28"/>
                <w:shd w:val="clear" w:color="auto" w:fill="B4A7D6"/>
              </w:rPr>
              <w:t xml:space="preserve">. Criterios de promoción y titulación </w:t>
            </w:r>
          </w:p>
        </w:tc>
      </w:tr>
    </w:tbl>
    <w:p w14:paraId="521765E1" w14:textId="77777777" w:rsidR="00704B18" w:rsidRDefault="00704B18">
      <w:pPr>
        <w:spacing w:line="276" w:lineRule="auto"/>
        <w:ind w:left="0" w:hanging="2"/>
        <w:rPr>
          <w:rFonts w:ascii="Courier New" w:eastAsia="Courier New" w:hAnsi="Courier New" w:cs="Courier New"/>
        </w:rPr>
      </w:pPr>
    </w:p>
    <w:p w14:paraId="66AC395C" w14:textId="77777777" w:rsidR="00704B18" w:rsidRDefault="00000000">
      <w:pPr>
        <w:keepNext/>
        <w:pBdr>
          <w:top w:val="nil"/>
          <w:left w:val="nil"/>
          <w:bottom w:val="nil"/>
          <w:right w:val="nil"/>
          <w:between w:val="nil"/>
        </w:pBdr>
        <w:spacing w:line="240" w:lineRule="auto"/>
        <w:ind w:left="1" w:hanging="3"/>
        <w:jc w:val="both"/>
        <w:rPr>
          <w:rFonts w:ascii="Calibri" w:eastAsia="Calibri" w:hAnsi="Calibri" w:cs="Calibri"/>
          <w:i/>
          <w:color w:val="000000"/>
          <w:sz w:val="28"/>
          <w:szCs w:val="28"/>
        </w:rPr>
      </w:pPr>
      <w:bookmarkStart w:id="2" w:name="_heading=h.167f8fqm9b1p" w:colFirst="0" w:colLast="0"/>
      <w:bookmarkEnd w:id="2"/>
      <w:r>
        <w:rPr>
          <w:rFonts w:ascii="Calibri" w:eastAsia="Calibri" w:hAnsi="Calibri" w:cs="Calibri"/>
          <w:color w:val="000000"/>
          <w:sz w:val="28"/>
          <w:szCs w:val="28"/>
        </w:rPr>
        <w:t>Se</w:t>
      </w:r>
      <w:r>
        <w:rPr>
          <w:i/>
          <w:color w:val="000000"/>
          <w:sz w:val="22"/>
          <w:szCs w:val="22"/>
        </w:rPr>
        <w:t xml:space="preserve"> </w:t>
      </w:r>
      <w:r>
        <w:rPr>
          <w:rFonts w:ascii="Calibri" w:eastAsia="Calibri" w:hAnsi="Calibri" w:cs="Calibri"/>
          <w:i/>
          <w:color w:val="000000"/>
          <w:sz w:val="28"/>
          <w:szCs w:val="28"/>
        </w:rPr>
        <w:t>seguirá lo establecido en la normativa y en el Proyecto Educativo del IES Juan de Aréjula:</w:t>
      </w:r>
    </w:p>
    <w:p w14:paraId="78216957" w14:textId="77777777" w:rsidR="00704B18" w:rsidRDefault="00704B18">
      <w:pPr>
        <w:ind w:left="0" w:hanging="2"/>
      </w:pPr>
    </w:p>
    <w:p w14:paraId="34D33687" w14:textId="77777777" w:rsidR="00704B18" w:rsidRDefault="00000000">
      <w:pPr>
        <w:ind w:left="1" w:hanging="3"/>
        <w:rPr>
          <w:rFonts w:ascii="Calibri" w:eastAsia="Calibri" w:hAnsi="Calibri" w:cs="Calibri"/>
          <w:sz w:val="28"/>
          <w:szCs w:val="28"/>
        </w:rPr>
      </w:pPr>
      <w:r>
        <w:rPr>
          <w:rFonts w:ascii="Calibri" w:eastAsia="Calibri" w:hAnsi="Calibri" w:cs="Calibri"/>
          <w:sz w:val="28"/>
          <w:szCs w:val="28"/>
        </w:rPr>
        <w:t xml:space="preserve">- </w:t>
      </w:r>
      <w:r>
        <w:rPr>
          <w:rFonts w:ascii="Calibri" w:eastAsia="Calibri" w:hAnsi="Calibri" w:cs="Calibri"/>
          <w:b/>
          <w:sz w:val="28"/>
          <w:szCs w:val="28"/>
          <w:u w:val="single"/>
        </w:rPr>
        <w:t>PROYECTO EDUCATIVO IES JUAN DE ARÉJULA</w:t>
      </w:r>
      <w:r>
        <w:rPr>
          <w:rFonts w:ascii="Calibri" w:eastAsia="Calibri" w:hAnsi="Calibri" w:cs="Calibri"/>
          <w:sz w:val="28"/>
          <w:szCs w:val="28"/>
        </w:rPr>
        <w:t xml:space="preserve">: </w:t>
      </w:r>
    </w:p>
    <w:p w14:paraId="25DF9FB4" w14:textId="77777777" w:rsidR="00704B18" w:rsidRDefault="00704B18">
      <w:pPr>
        <w:ind w:left="1" w:hanging="3"/>
        <w:rPr>
          <w:rFonts w:ascii="Calibri" w:eastAsia="Calibri" w:hAnsi="Calibri" w:cs="Calibri"/>
          <w:sz w:val="28"/>
          <w:szCs w:val="28"/>
        </w:rPr>
      </w:pPr>
    </w:p>
    <w:p w14:paraId="0EFE7AE2" w14:textId="77777777" w:rsidR="00704B18" w:rsidRDefault="00000000">
      <w:pPr>
        <w:ind w:left="0" w:hanging="2"/>
        <w:rPr>
          <w:rFonts w:ascii="Calibri" w:eastAsia="Calibri" w:hAnsi="Calibri" w:cs="Calibri"/>
          <w:sz w:val="28"/>
          <w:szCs w:val="28"/>
        </w:rPr>
      </w:pPr>
      <w:hyperlink r:id="rId8">
        <w:r>
          <w:rPr>
            <w:color w:val="0000EE"/>
            <w:u w:val="single"/>
          </w:rPr>
          <w:t>PLAN DE CENTR</w:t>
        </w:r>
        <w:r>
          <w:rPr>
            <w:color w:val="0000EE"/>
            <w:u w:val="single"/>
          </w:rPr>
          <w:t>O 2023.pdf</w:t>
        </w:r>
      </w:hyperlink>
    </w:p>
    <w:p w14:paraId="53BCF64F" w14:textId="77777777" w:rsidR="00704B18" w:rsidRDefault="00704B18">
      <w:pPr>
        <w:ind w:left="0" w:hanging="2"/>
      </w:pPr>
    </w:p>
    <w:p w14:paraId="4D072DF6" w14:textId="77777777" w:rsidR="00704B18" w:rsidRDefault="00000000">
      <w:pPr>
        <w:spacing w:line="276" w:lineRule="auto"/>
        <w:ind w:left="1" w:hanging="3"/>
        <w:jc w:val="both"/>
        <w:rPr>
          <w:sz w:val="22"/>
          <w:szCs w:val="22"/>
        </w:rPr>
      </w:pPr>
      <w:r>
        <w:rPr>
          <w:b/>
          <w:sz w:val="26"/>
          <w:szCs w:val="26"/>
          <w:u w:val="single"/>
        </w:rPr>
        <w:t>BACHILLERATO</w:t>
      </w:r>
      <w:r>
        <w:rPr>
          <w:sz w:val="22"/>
          <w:szCs w:val="22"/>
        </w:rPr>
        <w:t>:</w:t>
      </w:r>
    </w:p>
    <w:bookmarkStart w:id="3" w:name="_Hlk152663531"/>
    <w:p w14:paraId="277B02CC" w14:textId="77777777" w:rsidR="00704B18" w:rsidRDefault="00000000">
      <w:pPr>
        <w:spacing w:line="276" w:lineRule="auto"/>
        <w:ind w:left="0" w:hanging="2"/>
        <w:jc w:val="both"/>
        <w:rPr>
          <w:sz w:val="20"/>
          <w:szCs w:val="20"/>
        </w:rPr>
      </w:pPr>
      <w:r>
        <w:fldChar w:fldCharType="begin"/>
      </w:r>
      <w:r>
        <w:instrText>HYPERLINK "https://www.adideandalucia.es/normas/ordenes/Orden30mayo2023Bachillerato.pdf" \h</w:instrText>
      </w:r>
      <w:r>
        <w:fldChar w:fldCharType="separate"/>
      </w:r>
      <w:r>
        <w:rPr>
          <w:color w:val="28AB00"/>
          <w:sz w:val="22"/>
          <w:szCs w:val="22"/>
        </w:rPr>
        <w:t>ORDEN de 30 de mayo de 2023</w:t>
      </w:r>
      <w:r>
        <w:rPr>
          <w:color w:val="28AB00"/>
          <w:sz w:val="22"/>
          <w:szCs w:val="22"/>
        </w:rPr>
        <w:fldChar w:fldCharType="end"/>
      </w:r>
      <w:r>
        <w:rPr>
          <w:color w:val="666666"/>
          <w:sz w:val="22"/>
          <w:szCs w:val="22"/>
          <w:shd w:val="clear" w:color="auto" w:fill="F9FAF9"/>
        </w:rPr>
        <w:t>, por la que se desarrolla el currículo correspondiente a la etapa de Bachillerato en la Comunidad Autónoma de Andalucía, se regulan determinados aspectos de la atención a la diversidad y a las diferencias individuales y se establece la ordenación de la evaluación del proceso de aprendizaje del alumnado (BOJA 02-06-2023)</w:t>
      </w:r>
    </w:p>
    <w:p w14:paraId="35270A13" w14:textId="77777777" w:rsidR="00704B18" w:rsidRDefault="00704B18">
      <w:pPr>
        <w:spacing w:line="276" w:lineRule="auto"/>
        <w:ind w:left="1" w:hanging="3"/>
        <w:jc w:val="both"/>
        <w:rPr>
          <w:b/>
          <w:sz w:val="26"/>
          <w:szCs w:val="26"/>
          <w:u w:val="single"/>
        </w:rPr>
      </w:pPr>
    </w:p>
    <w:bookmarkEnd w:id="3"/>
    <w:p w14:paraId="78100379" w14:textId="77777777" w:rsidR="00704B18" w:rsidRDefault="00704B18">
      <w:pPr>
        <w:ind w:left="0" w:hanging="2"/>
        <w:rPr>
          <w:rFonts w:ascii="Calibri" w:eastAsia="Calibri" w:hAnsi="Calibri" w:cs="Calibri"/>
          <w:sz w:val="22"/>
          <w:szCs w:val="22"/>
        </w:rPr>
      </w:pPr>
    </w:p>
    <w:tbl>
      <w:tblPr>
        <w:tblStyle w:val="afffff8"/>
        <w:tblW w:w="1032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6"/>
      </w:tblGrid>
      <w:tr w:rsidR="00704B18" w14:paraId="6693FE85" w14:textId="77777777">
        <w:trPr>
          <w:cantSplit/>
          <w:trHeight w:val="260"/>
          <w:tblHeader/>
        </w:trPr>
        <w:tc>
          <w:tcPr>
            <w:tcW w:w="10326" w:type="dxa"/>
            <w:tcBorders>
              <w:bottom w:val="single" w:sz="4" w:space="0" w:color="000000"/>
            </w:tcBorders>
            <w:shd w:val="clear" w:color="auto" w:fill="B4A7D6"/>
          </w:tcPr>
          <w:p w14:paraId="19622E39" w14:textId="77777777" w:rsidR="00704B18" w:rsidRDefault="00000000">
            <w:pPr>
              <w:ind w:left="1" w:hanging="3"/>
              <w:rPr>
                <w:rFonts w:ascii="Calibri" w:eastAsia="Calibri" w:hAnsi="Calibri" w:cs="Calibri"/>
                <w:sz w:val="28"/>
                <w:szCs w:val="28"/>
              </w:rPr>
            </w:pPr>
            <w:r>
              <w:rPr>
                <w:rFonts w:ascii="Calibri" w:eastAsia="Calibri" w:hAnsi="Calibri" w:cs="Calibri"/>
                <w:b/>
                <w:i/>
                <w:sz w:val="28"/>
                <w:szCs w:val="28"/>
                <w:shd w:val="clear" w:color="auto" w:fill="B4A7D6"/>
              </w:rPr>
              <w:t xml:space="preserve">3. Herramientas / Instrumentos de evaluación </w:t>
            </w:r>
          </w:p>
        </w:tc>
      </w:tr>
    </w:tbl>
    <w:p w14:paraId="56982EE6" w14:textId="77777777" w:rsidR="00704B18" w:rsidRDefault="00704B18">
      <w:pPr>
        <w:ind w:left="0" w:hanging="2"/>
      </w:pPr>
    </w:p>
    <w:p w14:paraId="10B811A7"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position w:val="0"/>
        </w:rPr>
        <w:t xml:space="preserve">Según la Orden del 30 de mayo relativa a Bachillerato: </w:t>
      </w:r>
    </w:p>
    <w:p w14:paraId="0089F6F5"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p>
    <w:p w14:paraId="47D3CCD3"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1. </w:t>
      </w:r>
      <w:r w:rsidRPr="0017024F">
        <w:rPr>
          <w:position w:val="0"/>
        </w:rPr>
        <w:t>El profesorado llevará a cabo la evaluación, preferentemente, a través de la observación continuada de la evolución del proceso de aprendizaje, en relación con los criterios de evaluación y el grado de desarrollo de las competencias específicas de cada materia.</w:t>
      </w:r>
    </w:p>
    <w:p w14:paraId="2365A0DC"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2. </w:t>
      </w:r>
      <w:r w:rsidRPr="0017024F">
        <w:rPr>
          <w:position w:val="0"/>
        </w:rPr>
        <w:t>Los criterios de evaluación han de ser medibles, por lo que se han de establecer mecanismos objetivos de observación de las acciones que describen.</w:t>
      </w:r>
    </w:p>
    <w:p w14:paraId="0CD8CD93"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3. </w:t>
      </w:r>
      <w:r w:rsidRPr="0017024F">
        <w:rPr>
          <w:position w:val="0"/>
        </w:rPr>
        <w:t>Los mecanismos que garanticen la objetividad de la evaluación deberán ser concretados en las programaciones didácticas y ajustados de acuerdo con la evaluación inicial del alumnado y de su contexto.</w:t>
      </w:r>
    </w:p>
    <w:p w14:paraId="745335F9"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4. </w:t>
      </w:r>
      <w:r w:rsidRPr="0017024F">
        <w:rPr>
          <w:position w:val="0"/>
        </w:rPr>
        <w:t>Para la evaluación del alumnado se utilizarán diferentes instrumentos tales como cuestionarios, formularios, presentaciones, exposiciones orales, edición de documentos, pruebas, escalas de observación, rúbricas o portfolios, entre otros, coherentes con los criterios de evaluación y con las características específicas del alumnado garantizando así que la evaluación responde al principio de atención a la diversidad y a las diferencias individuales. Se fomentarán los procesos de coevaluación, evaluación entre iguales, así como la autoevaluación del alumnado, potenciando la capacidad del mismo para juzgar sus logros respecto a una tarea determinada.</w:t>
      </w:r>
    </w:p>
    <w:p w14:paraId="374A8CCA"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5. </w:t>
      </w:r>
      <w:r w:rsidRPr="0017024F">
        <w:rPr>
          <w:position w:val="0"/>
        </w:rPr>
        <w:t>Los criterios de evaluación contribuyen, en la misma medida, al grado de desarrollo de la competencia específica, por lo que tendrán el mismo valor a la hora de determinar su grado de desarrollo.</w:t>
      </w:r>
    </w:p>
    <w:p w14:paraId="4207FA9F"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6. </w:t>
      </w:r>
      <w:r w:rsidRPr="0017024F">
        <w:rPr>
          <w:position w:val="0"/>
        </w:rPr>
        <w:t>Los criterios de promoción y titulación, recogidos en el Proyecto educativo, tendrán que ir referidos al grado de desarrollo de los descriptores operativos del Perfil competencial, así como a la superación de las competencias específicas de las diferentes materias.</w:t>
      </w:r>
    </w:p>
    <w:p w14:paraId="47268C6A"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b/>
          <w:bCs/>
          <w:position w:val="0"/>
        </w:rPr>
        <w:t>7. </w:t>
      </w:r>
      <w:r w:rsidRPr="0017024F">
        <w:rPr>
          <w:position w:val="0"/>
        </w:rPr>
        <w:t>Los docentes evaluarán tanto el proceso de aprendizaje del alumnado como su propia práctica docente, para lo que concretarán los oportunos procedimientos en las programaciones didácticas.</w:t>
      </w:r>
    </w:p>
    <w:p w14:paraId="2CE59281"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p>
    <w:p w14:paraId="7E322A16"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rPr>
      </w:pPr>
      <w:r w:rsidRPr="0017024F">
        <w:rPr>
          <w:position w:val="0"/>
        </w:rPr>
        <w:lastRenderedPageBreak/>
        <w:t xml:space="preserve">Los procedimientos de evaluación se basarán en una observación continuada de la evolución del proceso de aprendizaje de cada alumno o alumna en relación con los criterios de evaluación y el grado de desarrollo de las competencias específicas. </w:t>
      </w:r>
    </w:p>
    <w:p w14:paraId="65859C47" w14:textId="77777777" w:rsidR="0017024F" w:rsidRPr="0017024F" w:rsidRDefault="0017024F" w:rsidP="0017024F">
      <w:pPr>
        <w:suppressAutoHyphens w:val="0"/>
        <w:spacing w:before="240" w:after="240" w:line="240" w:lineRule="auto"/>
        <w:ind w:leftChars="0" w:left="0" w:firstLineChars="0" w:firstLine="0"/>
        <w:jc w:val="both"/>
        <w:textDirection w:val="lrTb"/>
        <w:textAlignment w:val="auto"/>
        <w:outlineLvl w:val="9"/>
        <w:rPr>
          <w:position w:val="0"/>
        </w:rPr>
      </w:pPr>
      <w:r w:rsidRPr="0017024F">
        <w:rPr>
          <w:position w:val="0"/>
        </w:rPr>
        <w:t xml:space="preserve">Durante todo el curso, el alumnado elaborará una serie de productos, que son todo aquello que realizará a lo largo del proceso de aprendizaje. Tienen un carácter competencial y son funcionales porque hacen observable lo aprendido. </w:t>
      </w:r>
    </w:p>
    <w:p w14:paraId="51C94D99" w14:textId="77777777" w:rsidR="0017024F" w:rsidRPr="0017024F" w:rsidRDefault="0017024F" w:rsidP="0017024F">
      <w:pPr>
        <w:suppressAutoHyphens w:val="0"/>
        <w:spacing w:before="240" w:after="240" w:line="240" w:lineRule="auto"/>
        <w:ind w:leftChars="0" w:left="0" w:firstLineChars="0" w:firstLine="0"/>
        <w:jc w:val="both"/>
        <w:textDirection w:val="lrTb"/>
        <w:textAlignment w:val="auto"/>
        <w:outlineLvl w:val="9"/>
        <w:rPr>
          <w:position w:val="0"/>
        </w:rPr>
      </w:pPr>
      <w:r w:rsidRPr="0017024F">
        <w:rPr>
          <w:position w:val="0"/>
        </w:rPr>
        <w:t xml:space="preserve">Se definirán los instrumentos de evaluación como aquellos productos que se seleccionan para hacer evidente la adquisición de los aprendizajes descritos en los criterios de evaluación y el de sus respectivas competencias. </w:t>
      </w:r>
    </w:p>
    <w:p w14:paraId="32B2BF73" w14:textId="77777777" w:rsidR="0017024F" w:rsidRPr="0017024F" w:rsidRDefault="0017024F" w:rsidP="0017024F">
      <w:pPr>
        <w:suppressAutoHyphens w:val="0"/>
        <w:spacing w:before="240" w:after="240" w:line="240" w:lineRule="auto"/>
        <w:ind w:leftChars="0" w:left="0" w:firstLineChars="0" w:firstLine="0"/>
        <w:jc w:val="both"/>
        <w:textDirection w:val="lrTb"/>
        <w:textAlignment w:val="auto"/>
        <w:outlineLvl w:val="9"/>
        <w:rPr>
          <w:position w:val="0"/>
        </w:rPr>
      </w:pPr>
      <w:r w:rsidRPr="0017024F">
        <w:rPr>
          <w:position w:val="0"/>
          <w:lang w:val="es-ES_tradnl"/>
        </w:rPr>
        <w:t>Los instrumentos de evaluación constituyen una herramienta indispensable para determinar el grado de consecución de las competencias. Su naturaleza será, preferentemente, observacional y variada. Se adaptará a cada situación de aprendizaje para asegurar la evaluación objetiva del alumnado. Entre ellos debemos destacar el uso de la observación directa, cumplimentación de formularios, presentaciones, exposiciones orales, edición de documentos, pruebas, rúbricas, cuaderno del alumno o alumna, la producción en trabajo grupal o individual, entre otros, ajustados a los criterios de evaluación y a las características específicas del alumnado. Se fomentarán los procesos de coevaluación y autoevaluación del alumnado, presentes en cada situación de aprendizaje o unidad temporal de programación.</w:t>
      </w:r>
    </w:p>
    <w:p w14:paraId="0E676297" w14:textId="77777777" w:rsidR="0017024F" w:rsidRPr="0017024F" w:rsidRDefault="0017024F" w:rsidP="0017024F">
      <w:pPr>
        <w:keepNext/>
        <w:suppressAutoHyphens w:val="0"/>
        <w:spacing w:line="240" w:lineRule="auto"/>
        <w:ind w:leftChars="0" w:left="0" w:firstLineChars="0" w:firstLine="0"/>
        <w:textDirection w:val="lrTb"/>
        <w:textAlignment w:val="auto"/>
        <w:outlineLvl w:val="2"/>
        <w:rPr>
          <w:b/>
          <w:position w:val="0"/>
          <w:sz w:val="22"/>
          <w:szCs w:val="22"/>
        </w:rPr>
      </w:pPr>
      <w:bookmarkStart w:id="4" w:name="_heading=h.dy889o932igd" w:colFirst="0" w:colLast="0"/>
      <w:bookmarkEnd w:id="4"/>
      <w:r w:rsidRPr="0017024F">
        <w:rPr>
          <w:b/>
          <w:position w:val="0"/>
          <w:sz w:val="26"/>
          <w:szCs w:val="26"/>
        </w:rPr>
        <w:t>11.3. Calificación del aprendizaje del alumnado.</w:t>
      </w:r>
    </w:p>
    <w:p w14:paraId="2F3DFD18" w14:textId="77777777" w:rsidR="0017024F" w:rsidRPr="0017024F" w:rsidRDefault="0017024F" w:rsidP="0017024F">
      <w:pPr>
        <w:suppressAutoHyphens w:val="0"/>
        <w:spacing w:line="240" w:lineRule="auto"/>
        <w:ind w:leftChars="0" w:left="0" w:firstLineChars="0" w:firstLine="0"/>
        <w:jc w:val="both"/>
        <w:textDirection w:val="lrTb"/>
        <w:textAlignment w:val="auto"/>
        <w:outlineLvl w:val="9"/>
        <w:rPr>
          <w:position w:val="0"/>
          <w:sz w:val="28"/>
          <w:szCs w:val="28"/>
        </w:rPr>
      </w:pPr>
    </w:p>
    <w:p w14:paraId="78234B12"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position w:val="0"/>
        </w:rPr>
      </w:pPr>
      <w:r w:rsidRPr="0017024F">
        <w:rPr>
          <w:position w:val="0"/>
        </w:rPr>
        <w:t xml:space="preserve">-Con el objetivo de medir el grado de consecución de los criterios de evaluación se elaborarán distintas rúbricas con los indicadores de logro que permitan conocer el grado de desempeño de cada criterio.  Estos se ajustarán a las graduaciones de 1 a 10. En cada una de las situaciones de aprendizaje o unidades temporales de programación aparecerán los criterios de evaluación con su correspondiente rúbrica. Aunque ya los hemos señalado con anterioridad en el apartado correspondiente, los volvemos a recordar: </w:t>
      </w:r>
    </w:p>
    <w:p w14:paraId="7D03EB12"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positio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17024F" w:rsidRPr="0017024F" w14:paraId="628C933C" w14:textId="77777777" w:rsidTr="002A184F">
        <w:tc>
          <w:tcPr>
            <w:tcW w:w="1728" w:type="dxa"/>
            <w:shd w:val="clear" w:color="auto" w:fill="auto"/>
          </w:tcPr>
          <w:p w14:paraId="1A5E035C"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1-2.9</w:t>
            </w:r>
          </w:p>
        </w:tc>
        <w:tc>
          <w:tcPr>
            <w:tcW w:w="1729" w:type="dxa"/>
            <w:shd w:val="clear" w:color="auto" w:fill="auto"/>
          </w:tcPr>
          <w:p w14:paraId="23B3909A"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3-4.9</w:t>
            </w:r>
          </w:p>
        </w:tc>
        <w:tc>
          <w:tcPr>
            <w:tcW w:w="1729" w:type="dxa"/>
            <w:shd w:val="clear" w:color="auto" w:fill="auto"/>
          </w:tcPr>
          <w:p w14:paraId="3ABF35EB"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5-6.9</w:t>
            </w:r>
          </w:p>
        </w:tc>
        <w:tc>
          <w:tcPr>
            <w:tcW w:w="1729" w:type="dxa"/>
            <w:shd w:val="clear" w:color="auto" w:fill="auto"/>
          </w:tcPr>
          <w:p w14:paraId="54844745"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7-8.9</w:t>
            </w:r>
          </w:p>
        </w:tc>
        <w:tc>
          <w:tcPr>
            <w:tcW w:w="1729" w:type="dxa"/>
            <w:shd w:val="clear" w:color="auto" w:fill="auto"/>
          </w:tcPr>
          <w:p w14:paraId="71AF062B"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9-10</w:t>
            </w:r>
          </w:p>
        </w:tc>
      </w:tr>
      <w:tr w:rsidR="0017024F" w:rsidRPr="0017024F" w14:paraId="15F0AE67" w14:textId="77777777" w:rsidTr="002A184F">
        <w:tc>
          <w:tcPr>
            <w:tcW w:w="1728" w:type="dxa"/>
            <w:shd w:val="clear" w:color="auto" w:fill="auto"/>
          </w:tcPr>
          <w:p w14:paraId="45F94920"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Desconoce,</w:t>
            </w:r>
          </w:p>
          <w:p w14:paraId="077732C9"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o no valora, </w:t>
            </w:r>
          </w:p>
          <w:p w14:paraId="02E3FA8D"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no identifica, no realiza,</w:t>
            </w:r>
          </w:p>
          <w:p w14:paraId="7F0FA92B"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no compara, </w:t>
            </w:r>
          </w:p>
          <w:p w14:paraId="16D9CE70"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no expresa, </w:t>
            </w:r>
          </w:p>
          <w:p w14:paraId="3CD153D0"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no utiliza, </w:t>
            </w:r>
          </w:p>
          <w:p w14:paraId="45892416"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no aplica</w:t>
            </w:r>
          </w:p>
          <w:p w14:paraId="393A2B72"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no constata, </w:t>
            </w:r>
          </w:p>
          <w:p w14:paraId="07A18AE3"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no expone, ignora. </w:t>
            </w:r>
          </w:p>
        </w:tc>
        <w:tc>
          <w:tcPr>
            <w:tcW w:w="1729" w:type="dxa"/>
            <w:shd w:val="clear" w:color="auto" w:fill="auto"/>
          </w:tcPr>
          <w:p w14:paraId="5B59CB1A"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Conoce apenas, de manera insuficiente, </w:t>
            </w:r>
          </w:p>
          <w:p w14:paraId="1ED19DD5"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solo algunos rasgos. </w:t>
            </w:r>
          </w:p>
        </w:tc>
        <w:tc>
          <w:tcPr>
            <w:tcW w:w="1729" w:type="dxa"/>
            <w:shd w:val="clear" w:color="auto" w:fill="auto"/>
          </w:tcPr>
          <w:p w14:paraId="6AA0B1BE"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Conoce a grandes rasgos, de manera correcta.</w:t>
            </w:r>
          </w:p>
        </w:tc>
        <w:tc>
          <w:tcPr>
            <w:tcW w:w="1729" w:type="dxa"/>
            <w:shd w:val="clear" w:color="auto" w:fill="auto"/>
          </w:tcPr>
          <w:p w14:paraId="31CFBD29"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Conoce en gran medida, </w:t>
            </w:r>
          </w:p>
          <w:p w14:paraId="0998A065"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de manera significativa.</w:t>
            </w:r>
          </w:p>
        </w:tc>
        <w:tc>
          <w:tcPr>
            <w:tcW w:w="1729" w:type="dxa"/>
            <w:shd w:val="clear" w:color="auto" w:fill="auto"/>
          </w:tcPr>
          <w:p w14:paraId="3F4DF5A5"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 xml:space="preserve">Conoce en profundidad, con precisión,  </w:t>
            </w:r>
          </w:p>
          <w:p w14:paraId="2CD58233"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rFonts w:ascii="Times New Roman" w:hAnsi="Times New Roman" w:cs="Times New Roman"/>
                <w:position w:val="0"/>
              </w:rPr>
            </w:pPr>
            <w:r w:rsidRPr="0017024F">
              <w:rPr>
                <w:rFonts w:ascii="Times New Roman" w:hAnsi="Times New Roman" w:cs="Times New Roman"/>
                <w:position w:val="0"/>
              </w:rPr>
              <w:t>con rigor.</w:t>
            </w:r>
          </w:p>
        </w:tc>
      </w:tr>
    </w:tbl>
    <w:p w14:paraId="4D5F7105"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position w:val="0"/>
        </w:rPr>
      </w:pPr>
    </w:p>
    <w:p w14:paraId="617FB138"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position w:val="0"/>
        </w:rPr>
      </w:pPr>
      <w:r w:rsidRPr="0017024F">
        <w:rPr>
          <w:position w:val="0"/>
        </w:rPr>
        <w:t xml:space="preserve">-En cuanto a los criterios específicos de corrección y valoración se tendrá en cuenta el conocimiento de los saberes básicos, el análisis adecuado y la correcta ubicación espacial y temporal de hechos y personajes, la riqueza y corrección de la terminología y el vocabulario histórico empleados, y la exposición correcta, ordenada y clara de los contenidos. Ha de </w:t>
      </w:r>
      <w:r w:rsidRPr="0017024F">
        <w:rPr>
          <w:position w:val="0"/>
        </w:rPr>
        <w:lastRenderedPageBreak/>
        <w:t>apreciarse la expresión escrita del alumnado a la hora de calificarla, de tal manera que la nota evalúe lo que el alumno escribe o expresa, no lo que parece que quiso decir o escribir.</w:t>
      </w:r>
    </w:p>
    <w:p w14:paraId="7ABE9A77" w14:textId="77777777" w:rsidR="0017024F" w:rsidRPr="0017024F" w:rsidRDefault="0017024F" w:rsidP="0017024F">
      <w:pPr>
        <w:suppressAutoHyphens w:val="0"/>
        <w:spacing w:line="240" w:lineRule="auto"/>
        <w:ind w:leftChars="0" w:left="4" w:firstLineChars="0" w:firstLine="0"/>
        <w:jc w:val="both"/>
        <w:textDirection w:val="lrTb"/>
        <w:textAlignment w:val="auto"/>
        <w:outlineLvl w:val="9"/>
        <w:rPr>
          <w:position w:val="0"/>
        </w:rPr>
      </w:pPr>
    </w:p>
    <w:p w14:paraId="7D38C15C" w14:textId="77777777" w:rsidR="0017024F" w:rsidRPr="0017024F" w:rsidRDefault="0017024F" w:rsidP="0017024F">
      <w:pPr>
        <w:suppressAutoHyphens w:val="0"/>
        <w:spacing w:line="240" w:lineRule="auto"/>
        <w:ind w:leftChars="0" w:left="-2" w:firstLineChars="0" w:firstLine="0"/>
        <w:jc w:val="both"/>
        <w:textDirection w:val="lrTb"/>
        <w:textAlignment w:val="auto"/>
        <w:outlineLvl w:val="9"/>
        <w:rPr>
          <w:position w:val="0"/>
        </w:rPr>
      </w:pPr>
      <w:r w:rsidRPr="0017024F">
        <w:rPr>
          <w:position w:val="0"/>
        </w:rPr>
        <w:t>-Si se produce una falta de asistencia el día en que está fijada una prueba escrita, esta solo se repetirá si está debidamente justificada.</w:t>
      </w:r>
    </w:p>
    <w:p w14:paraId="055EE9A0" w14:textId="77777777" w:rsidR="0017024F" w:rsidRPr="0017024F" w:rsidRDefault="0017024F" w:rsidP="0017024F">
      <w:pPr>
        <w:suppressAutoHyphens w:val="0"/>
        <w:spacing w:line="240" w:lineRule="auto"/>
        <w:ind w:leftChars="0" w:left="-2" w:firstLineChars="0" w:firstLine="0"/>
        <w:jc w:val="both"/>
        <w:textDirection w:val="lrTb"/>
        <w:textAlignment w:val="auto"/>
        <w:outlineLvl w:val="9"/>
        <w:rPr>
          <w:position w:val="0"/>
        </w:rPr>
      </w:pPr>
    </w:p>
    <w:p w14:paraId="253554B3" w14:textId="77777777" w:rsidR="0017024F" w:rsidRPr="0017024F" w:rsidRDefault="0017024F" w:rsidP="0017024F">
      <w:pPr>
        <w:suppressAutoHyphens w:val="0"/>
        <w:spacing w:line="240" w:lineRule="auto"/>
        <w:ind w:leftChars="0" w:left="-2" w:firstLineChars="0" w:firstLine="0"/>
        <w:jc w:val="both"/>
        <w:textDirection w:val="lrTb"/>
        <w:textAlignment w:val="auto"/>
        <w:outlineLvl w:val="9"/>
        <w:rPr>
          <w:position w:val="0"/>
        </w:rPr>
      </w:pPr>
      <w:r w:rsidRPr="0017024F">
        <w:rPr>
          <w:position w:val="0"/>
        </w:rPr>
        <w:t>-Para la recuperación de cada evaluación pendiente se realizará una prueba escrita, que tendrá la misma estructura y versará sobre los mismos contenidos de las pruebas ya realizadas. Para aquellos alumnos que no la superen, y por tanto no hayan alcanzado suficientemente los objetivos, saberes básicos, criterios de evaluación y competencias fijados, se realizará una prueba escrita al final de curso que tendrá como base la misma estructura y los mismos criterios de corrección antes señalados. Esta última prueba en ningún caso tendrá el carácter de global, sino que entra en el proceso de evaluación continua y de aprendizaje del alumnado, y por tanto no tiene un valor determinante ni decisivo en el aprobado o suspenso final de un alumno durante el curso escolar. Solo tendrá un valor orientativo.</w:t>
      </w:r>
    </w:p>
    <w:p w14:paraId="09FF2C00" w14:textId="77777777" w:rsidR="0017024F" w:rsidRPr="0017024F" w:rsidRDefault="0017024F" w:rsidP="0017024F">
      <w:pPr>
        <w:suppressAutoHyphens w:val="0"/>
        <w:spacing w:line="240" w:lineRule="auto"/>
        <w:ind w:leftChars="0" w:left="-2" w:firstLineChars="0" w:firstLine="0"/>
        <w:jc w:val="both"/>
        <w:textDirection w:val="lrTb"/>
        <w:textAlignment w:val="auto"/>
        <w:outlineLvl w:val="9"/>
        <w:rPr>
          <w:position w:val="0"/>
        </w:rPr>
      </w:pPr>
    </w:p>
    <w:p w14:paraId="1D47AEBB" w14:textId="77777777" w:rsidR="0017024F" w:rsidRPr="0017024F" w:rsidRDefault="0017024F" w:rsidP="0017024F">
      <w:pPr>
        <w:suppressAutoHyphens w:val="0"/>
        <w:spacing w:line="240" w:lineRule="auto"/>
        <w:ind w:leftChars="0" w:left="-2" w:firstLineChars="0" w:firstLine="0"/>
        <w:jc w:val="both"/>
        <w:textDirection w:val="lrTb"/>
        <w:textAlignment w:val="auto"/>
        <w:outlineLvl w:val="9"/>
        <w:rPr>
          <w:position w:val="0"/>
        </w:rPr>
      </w:pPr>
      <w:r w:rsidRPr="0017024F">
        <w:rPr>
          <w:position w:val="0"/>
        </w:rPr>
        <w:t xml:space="preserve">-En el caso de que se tengan pruebas fehacientes de que un alumno ha copiado en alguna prueba, se le podrá exigir una segunda prueba para corroborar que su proceso de aprendizaje y sus conocimientos de la materia son los adecuados.   </w:t>
      </w:r>
    </w:p>
    <w:p w14:paraId="6206EE49" w14:textId="77777777" w:rsidR="0017024F" w:rsidRPr="0017024F" w:rsidRDefault="0017024F" w:rsidP="0017024F">
      <w:pPr>
        <w:suppressAutoHyphens w:val="0"/>
        <w:spacing w:line="240" w:lineRule="auto"/>
        <w:ind w:leftChars="0" w:left="0" w:firstLineChars="0" w:firstLine="0"/>
        <w:textDirection w:val="lrTb"/>
        <w:textAlignment w:val="auto"/>
        <w:outlineLvl w:val="9"/>
        <w:rPr>
          <w:position w:val="0"/>
          <w:sz w:val="28"/>
          <w:szCs w:val="28"/>
        </w:rPr>
      </w:pPr>
    </w:p>
    <w:p w14:paraId="274C0DB1" w14:textId="659CBFA7" w:rsidR="00704B18" w:rsidRDefault="00704B18">
      <w:pPr>
        <w:keepNext/>
        <w:pBdr>
          <w:top w:val="nil"/>
          <w:left w:val="nil"/>
          <w:bottom w:val="nil"/>
          <w:right w:val="nil"/>
          <w:between w:val="nil"/>
        </w:pBdr>
        <w:spacing w:line="240" w:lineRule="auto"/>
        <w:ind w:left="0" w:hanging="2"/>
        <w:rPr>
          <w:rFonts w:ascii="Calibri" w:eastAsia="Calibri" w:hAnsi="Calibri" w:cs="Calibri"/>
          <w:b/>
          <w:i/>
          <w:color w:val="000000"/>
          <w:sz w:val="20"/>
          <w:szCs w:val="20"/>
          <w:u w:val="single"/>
        </w:rPr>
      </w:pPr>
    </w:p>
    <w:sectPr w:rsidR="00704B18">
      <w:headerReference w:type="even" r:id="rId9"/>
      <w:headerReference w:type="default" r:id="rId10"/>
      <w:footerReference w:type="even" r:id="rId11"/>
      <w:footerReference w:type="default" r:id="rId12"/>
      <w:headerReference w:type="first" r:id="rId13"/>
      <w:footerReference w:type="first" r:id="rId14"/>
      <w:pgSz w:w="11906" w:h="16838"/>
      <w:pgMar w:top="1077" w:right="1106" w:bottom="1077" w:left="1077" w:header="709" w:footer="1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D236" w14:textId="77777777" w:rsidR="00B91E78" w:rsidRDefault="00B91E78">
      <w:pPr>
        <w:spacing w:line="240" w:lineRule="auto"/>
        <w:ind w:left="0" w:hanging="2"/>
      </w:pPr>
      <w:r>
        <w:separator/>
      </w:r>
    </w:p>
  </w:endnote>
  <w:endnote w:type="continuationSeparator" w:id="0">
    <w:p w14:paraId="4480FF08" w14:textId="77777777" w:rsidR="00B91E78" w:rsidRDefault="00B91E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B282" w14:textId="77777777" w:rsidR="00704B18" w:rsidRDefault="00704B18">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4FEA" w14:textId="77777777" w:rsidR="00704B18" w:rsidRDefault="00704B18">
    <w:pPr>
      <w:widowControl w:val="0"/>
      <w:pBdr>
        <w:top w:val="nil"/>
        <w:left w:val="nil"/>
        <w:bottom w:val="nil"/>
        <w:right w:val="nil"/>
        <w:between w:val="nil"/>
      </w:pBdr>
      <w:spacing w:line="276" w:lineRule="auto"/>
      <w:ind w:left="0" w:hanging="2"/>
      <w:rPr>
        <w:rFonts w:ascii="Eras Medium ITC" w:eastAsia="Eras Medium ITC" w:hAnsi="Eras Medium ITC" w:cs="Eras Medium ITC"/>
        <w:color w:val="5F497A"/>
      </w:rPr>
    </w:pPr>
  </w:p>
  <w:tbl>
    <w:tblPr>
      <w:tblStyle w:val="afffff9"/>
      <w:tblW w:w="9860" w:type="dxa"/>
      <w:tblInd w:w="-1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860"/>
    </w:tblGrid>
    <w:tr w:rsidR="00704B18" w14:paraId="72D6C1D8" w14:textId="77777777">
      <w:trPr>
        <w:cantSplit/>
        <w:tblHeader/>
      </w:trPr>
      <w:tc>
        <w:tcPr>
          <w:tcW w:w="9860" w:type="dxa"/>
        </w:tcPr>
        <w:p w14:paraId="15297769" w14:textId="77777777" w:rsidR="00704B18" w:rsidRDefault="00000000">
          <w:pPr>
            <w:pBdr>
              <w:top w:val="nil"/>
              <w:left w:val="nil"/>
              <w:bottom w:val="nil"/>
              <w:right w:val="nil"/>
              <w:between w:val="nil"/>
            </w:pBdr>
            <w:tabs>
              <w:tab w:val="center" w:pos="4252"/>
              <w:tab w:val="right" w:pos="8504"/>
            </w:tabs>
            <w:spacing w:line="240" w:lineRule="auto"/>
            <w:ind w:left="0" w:hanging="2"/>
            <w:rPr>
              <w:color w:val="000000"/>
              <w:sz w:val="18"/>
              <w:szCs w:val="18"/>
            </w:rPr>
          </w:pPr>
          <w:r>
            <w:rPr>
              <w:color w:val="000000"/>
              <w:sz w:val="18"/>
              <w:szCs w:val="18"/>
            </w:rPr>
            <w:t xml:space="preserve">Destino del documento: Página web </w:t>
          </w:r>
        </w:p>
      </w:tc>
    </w:tr>
  </w:tbl>
  <w:p w14:paraId="33D77F58" w14:textId="77777777" w:rsidR="00704B18" w:rsidRDefault="00704B18">
    <w:pPr>
      <w:pBdr>
        <w:top w:val="nil"/>
        <w:left w:val="nil"/>
        <w:bottom w:val="nil"/>
        <w:right w:val="nil"/>
        <w:between w:val="nil"/>
      </w:pBdr>
      <w:tabs>
        <w:tab w:val="center" w:pos="4252"/>
        <w:tab w:val="right" w:pos="8504"/>
      </w:tabs>
      <w:spacing w:line="240" w:lineRule="auto"/>
      <w:ind w:left="0" w:hanging="2"/>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2F1" w14:textId="77777777" w:rsidR="00704B18" w:rsidRDefault="00704B18">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B99D" w14:textId="77777777" w:rsidR="00B91E78" w:rsidRDefault="00B91E78">
      <w:pPr>
        <w:spacing w:line="240" w:lineRule="auto"/>
        <w:ind w:left="0" w:hanging="2"/>
      </w:pPr>
      <w:r>
        <w:separator/>
      </w:r>
    </w:p>
  </w:footnote>
  <w:footnote w:type="continuationSeparator" w:id="0">
    <w:p w14:paraId="4FDA512E" w14:textId="77777777" w:rsidR="00B91E78" w:rsidRDefault="00B91E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1D3" w14:textId="77777777" w:rsidR="00704B18" w:rsidRDefault="00704B18">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888D" w14:textId="77777777" w:rsidR="00704B18"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noProof/>
      </w:rPr>
      <w:drawing>
        <wp:inline distT="114300" distB="114300" distL="114300" distR="114300" wp14:anchorId="67092E7C" wp14:editId="66492D80">
          <wp:extent cx="6173795" cy="69850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73795" cy="698500"/>
                  </a:xfrm>
                  <a:prstGeom prst="rect">
                    <a:avLst/>
                  </a:prstGeom>
                  <a:ln/>
                </pic:spPr>
              </pic:pic>
            </a:graphicData>
          </a:graphic>
        </wp:inline>
      </w:drawing>
    </w:r>
  </w:p>
  <w:p w14:paraId="7BC040BE" w14:textId="77777777" w:rsidR="00704B18" w:rsidRDefault="00704B18">
    <w:pPr>
      <w:pBdr>
        <w:top w:val="nil"/>
        <w:left w:val="nil"/>
        <w:bottom w:val="nil"/>
        <w:right w:val="nil"/>
        <w:between w:val="nil"/>
      </w:pBdr>
      <w:tabs>
        <w:tab w:val="center" w:pos="4252"/>
        <w:tab w:val="right" w:pos="8504"/>
      </w:tabs>
      <w:spacing w:line="240" w:lineRule="auto"/>
      <w:ind w:left="0" w:hanging="2"/>
      <w:rPr>
        <w:rFonts w:ascii="Courier New" w:eastAsia="Courier New" w:hAnsi="Courier New" w:cs="Courier New"/>
        <w:b/>
        <w:color w:val="674EA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E790" w14:textId="77777777" w:rsidR="00704B18" w:rsidRDefault="00704B18">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7E64"/>
    <w:multiLevelType w:val="multilevel"/>
    <w:tmpl w:val="532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FC41AA"/>
    <w:multiLevelType w:val="multilevel"/>
    <w:tmpl w:val="BD2A8994"/>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4358656">
    <w:abstractNumId w:val="1"/>
  </w:num>
  <w:num w:numId="2" w16cid:durableId="159658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18"/>
    <w:rsid w:val="0017024F"/>
    <w:rsid w:val="00704B18"/>
    <w:rsid w:val="00B91E78"/>
    <w:rsid w:val="00C02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535B"/>
  <w15:docId w15:val="{D5005E10-D720-4660-83CD-F5D2BFF9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3E"/>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rsid w:val="009902F7"/>
    <w:pPr>
      <w:keepNext/>
      <w:jc w:val="center"/>
    </w:pPr>
    <w:rPr>
      <w:b/>
      <w:bCs/>
      <w:i/>
      <w:iCs/>
      <w:sz w:val="20"/>
    </w:rPr>
  </w:style>
  <w:style w:type="paragraph" w:styleId="Ttulo2">
    <w:name w:val="heading 2"/>
    <w:basedOn w:val="Normal"/>
    <w:next w:val="Normal"/>
    <w:uiPriority w:val="9"/>
    <w:semiHidden/>
    <w:unhideWhenUsed/>
    <w:qFormat/>
    <w:rsid w:val="009902F7"/>
    <w:pPr>
      <w:keepNext/>
      <w:jc w:val="center"/>
      <w:outlineLvl w:val="1"/>
    </w:pPr>
    <w:rPr>
      <w:b/>
      <w:bCs/>
    </w:rPr>
  </w:style>
  <w:style w:type="paragraph" w:styleId="Ttulo3">
    <w:name w:val="heading 3"/>
    <w:basedOn w:val="Normal"/>
    <w:next w:val="Normal"/>
    <w:uiPriority w:val="9"/>
    <w:semiHidden/>
    <w:unhideWhenUsed/>
    <w:qFormat/>
    <w:rsid w:val="009902F7"/>
    <w:pPr>
      <w:keepNext/>
      <w:jc w:val="center"/>
      <w:outlineLvl w:val="2"/>
    </w:pPr>
    <w:rPr>
      <w:b/>
      <w:bCs/>
      <w:sz w:val="18"/>
    </w:rPr>
  </w:style>
  <w:style w:type="paragraph" w:styleId="Ttulo4">
    <w:name w:val="heading 4"/>
    <w:basedOn w:val="Normal"/>
    <w:next w:val="Normal"/>
    <w:uiPriority w:val="9"/>
    <w:semiHidden/>
    <w:unhideWhenUsed/>
    <w:qFormat/>
    <w:rsid w:val="009902F7"/>
    <w:pPr>
      <w:keepNext/>
      <w:outlineLvl w:val="3"/>
    </w:pPr>
    <w:rPr>
      <w:b/>
      <w:bCs/>
    </w:rPr>
  </w:style>
  <w:style w:type="paragraph" w:styleId="Ttulo5">
    <w:name w:val="heading 5"/>
    <w:basedOn w:val="Normal"/>
    <w:next w:val="Normal"/>
    <w:uiPriority w:val="9"/>
    <w:semiHidden/>
    <w:unhideWhenUsed/>
    <w:qFormat/>
    <w:rsid w:val="009902F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902F7"/>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9902F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9902F7"/>
  </w:style>
  <w:style w:type="table" w:customStyle="1" w:styleId="TableNormal1">
    <w:name w:val="Table Normal"/>
    <w:rsid w:val="009902F7"/>
    <w:tblPr>
      <w:tblCellMar>
        <w:top w:w="0" w:type="dxa"/>
        <w:left w:w="0" w:type="dxa"/>
        <w:bottom w:w="0" w:type="dxa"/>
        <w:right w:w="0" w:type="dxa"/>
      </w:tblCellMar>
    </w:tblPr>
  </w:style>
  <w:style w:type="table" w:customStyle="1" w:styleId="TableNormal2">
    <w:name w:val="Table Normal"/>
    <w:rsid w:val="009902F7"/>
    <w:tblPr>
      <w:tblCellMar>
        <w:top w:w="0" w:type="dxa"/>
        <w:left w:w="0" w:type="dxa"/>
        <w:bottom w:w="0" w:type="dxa"/>
        <w:right w:w="0" w:type="dxa"/>
      </w:tblCellMar>
    </w:tblPr>
  </w:style>
  <w:style w:type="table" w:customStyle="1" w:styleId="TableNormal3">
    <w:name w:val="Table Normal"/>
    <w:rsid w:val="009902F7"/>
    <w:tblPr>
      <w:tblCellMar>
        <w:top w:w="0" w:type="dxa"/>
        <w:left w:w="0" w:type="dxa"/>
        <w:bottom w:w="0" w:type="dxa"/>
        <w:right w:w="0" w:type="dxa"/>
      </w:tblCellMar>
    </w:tblPr>
  </w:style>
  <w:style w:type="paragraph" w:styleId="Encabezado">
    <w:name w:val="header"/>
    <w:basedOn w:val="Normal"/>
    <w:rsid w:val="009902F7"/>
    <w:pPr>
      <w:tabs>
        <w:tab w:val="center" w:pos="4252"/>
        <w:tab w:val="right" w:pos="8504"/>
      </w:tabs>
    </w:pPr>
  </w:style>
  <w:style w:type="paragraph" w:styleId="Piedepgina">
    <w:name w:val="footer"/>
    <w:basedOn w:val="Normal"/>
    <w:rsid w:val="009902F7"/>
    <w:pPr>
      <w:tabs>
        <w:tab w:val="center" w:pos="4252"/>
        <w:tab w:val="right" w:pos="8504"/>
      </w:tabs>
    </w:pPr>
  </w:style>
  <w:style w:type="paragraph" w:customStyle="1" w:styleId="Normalconnumeracin">
    <w:name w:val="Normal con numeración"/>
    <w:basedOn w:val="Normal"/>
    <w:rsid w:val="009902F7"/>
    <w:pPr>
      <w:jc w:val="both"/>
    </w:pPr>
    <w:rPr>
      <w:rFonts w:ascii="Comic Sans MS" w:hAnsi="Comic Sans MS"/>
    </w:rPr>
  </w:style>
  <w:style w:type="character" w:customStyle="1" w:styleId="EncabezadoCar">
    <w:name w:val="Encabezado Car"/>
    <w:basedOn w:val="Fuentedeprrafopredeter"/>
    <w:rsid w:val="009902F7"/>
    <w:rPr>
      <w:rFonts w:ascii="Arial" w:hAnsi="Arial"/>
      <w:w w:val="100"/>
      <w:position w:val="-1"/>
      <w:sz w:val="24"/>
      <w:szCs w:val="24"/>
      <w:effect w:val="none"/>
      <w:vertAlign w:val="baseline"/>
      <w:cs w:val="0"/>
      <w:em w:val="none"/>
    </w:rPr>
  </w:style>
  <w:style w:type="paragraph" w:styleId="Textodeglobo">
    <w:name w:val="Balloon Text"/>
    <w:basedOn w:val="Normal"/>
    <w:rsid w:val="009902F7"/>
    <w:rPr>
      <w:rFonts w:ascii="Tahoma" w:hAnsi="Tahoma" w:cs="Tahoma"/>
      <w:sz w:val="16"/>
      <w:szCs w:val="16"/>
    </w:rPr>
  </w:style>
  <w:style w:type="character" w:customStyle="1" w:styleId="TextodegloboCar">
    <w:name w:val="Texto de globo Car"/>
    <w:basedOn w:val="Fuentedeprrafopredeter"/>
    <w:rsid w:val="009902F7"/>
    <w:rPr>
      <w:rFonts w:ascii="Tahoma" w:hAnsi="Tahoma" w:cs="Tahoma"/>
      <w:w w:val="100"/>
      <w:position w:val="-1"/>
      <w:sz w:val="16"/>
      <w:szCs w:val="16"/>
      <w:effect w:val="none"/>
      <w:vertAlign w:val="baseline"/>
      <w:cs w:val="0"/>
      <w:em w:val="none"/>
    </w:rPr>
  </w:style>
  <w:style w:type="paragraph" w:customStyle="1" w:styleId="Default">
    <w:name w:val="Default"/>
    <w:rsid w:val="009902F7"/>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rsid w:val="009902F7"/>
    <w:tblPr>
      <w:tblStyleRowBandSize w:val="1"/>
      <w:tblStyleColBandSize w:val="1"/>
      <w:tblCellMar>
        <w:left w:w="70" w:type="dxa"/>
        <w:right w:w="70" w:type="dxa"/>
      </w:tblCellMar>
    </w:tblPr>
  </w:style>
  <w:style w:type="table" w:customStyle="1" w:styleId="a0">
    <w:basedOn w:val="TableNormal3"/>
    <w:rsid w:val="009902F7"/>
    <w:tblPr>
      <w:tblStyleRowBandSize w:val="1"/>
      <w:tblStyleColBandSize w:val="1"/>
      <w:tblCellMar>
        <w:left w:w="70" w:type="dxa"/>
        <w:right w:w="70" w:type="dxa"/>
      </w:tblCellMar>
    </w:tblPr>
  </w:style>
  <w:style w:type="table" w:customStyle="1" w:styleId="a1">
    <w:basedOn w:val="TableNormal3"/>
    <w:rsid w:val="009902F7"/>
    <w:tblPr>
      <w:tblStyleRowBandSize w:val="1"/>
      <w:tblStyleColBandSize w:val="1"/>
      <w:tblCellMar>
        <w:left w:w="70" w:type="dxa"/>
        <w:right w:w="70" w:type="dxa"/>
      </w:tblCellMar>
    </w:tblPr>
  </w:style>
  <w:style w:type="table" w:customStyle="1" w:styleId="a2">
    <w:basedOn w:val="TableNormal3"/>
    <w:rsid w:val="009902F7"/>
    <w:tblPr>
      <w:tblStyleRowBandSize w:val="1"/>
      <w:tblStyleColBandSize w:val="1"/>
      <w:tblCellMar>
        <w:left w:w="70" w:type="dxa"/>
        <w:right w:w="70" w:type="dxa"/>
      </w:tblCellMar>
    </w:tblPr>
  </w:style>
  <w:style w:type="table" w:customStyle="1" w:styleId="a3">
    <w:basedOn w:val="TableNormal3"/>
    <w:rsid w:val="009902F7"/>
    <w:tblPr>
      <w:tblStyleRowBandSize w:val="1"/>
      <w:tblStyleColBandSize w:val="1"/>
      <w:tblCellMar>
        <w:left w:w="70" w:type="dxa"/>
        <w:right w:w="70" w:type="dxa"/>
      </w:tblCellMar>
    </w:tblPr>
  </w:style>
  <w:style w:type="table" w:customStyle="1" w:styleId="a4">
    <w:basedOn w:val="TableNormal3"/>
    <w:rsid w:val="009902F7"/>
    <w:tblPr>
      <w:tblStyleRowBandSize w:val="1"/>
      <w:tblStyleColBandSize w:val="1"/>
      <w:tblCellMar>
        <w:left w:w="70" w:type="dxa"/>
        <w:right w:w="70" w:type="dxa"/>
      </w:tblCellMar>
    </w:tblPr>
  </w:style>
  <w:style w:type="table" w:customStyle="1" w:styleId="a5">
    <w:basedOn w:val="TableNormal3"/>
    <w:rsid w:val="009902F7"/>
    <w:tblPr>
      <w:tblStyleRowBandSize w:val="1"/>
      <w:tblStyleColBandSize w:val="1"/>
      <w:tblCellMar>
        <w:left w:w="70" w:type="dxa"/>
        <w:right w:w="70" w:type="dxa"/>
      </w:tblCellMar>
    </w:tblPr>
  </w:style>
  <w:style w:type="table" w:customStyle="1" w:styleId="a6">
    <w:basedOn w:val="TableNormal3"/>
    <w:rsid w:val="009902F7"/>
    <w:tblPr>
      <w:tblStyleRowBandSize w:val="1"/>
      <w:tblStyleColBandSize w:val="1"/>
      <w:tblCellMar>
        <w:left w:w="70" w:type="dxa"/>
        <w:right w:w="70" w:type="dxa"/>
      </w:tblCellMar>
    </w:tblPr>
  </w:style>
  <w:style w:type="table" w:customStyle="1" w:styleId="a7">
    <w:basedOn w:val="TableNormal3"/>
    <w:rsid w:val="009902F7"/>
    <w:tblPr>
      <w:tblStyleRowBandSize w:val="1"/>
      <w:tblStyleColBandSize w:val="1"/>
      <w:tblCellMar>
        <w:left w:w="70" w:type="dxa"/>
        <w:right w:w="70" w:type="dxa"/>
      </w:tblCellMar>
    </w:tblPr>
  </w:style>
  <w:style w:type="table" w:customStyle="1" w:styleId="a8">
    <w:basedOn w:val="TableNormal3"/>
    <w:rsid w:val="009902F7"/>
    <w:tblPr>
      <w:tblStyleRowBandSize w:val="1"/>
      <w:tblStyleColBandSize w:val="1"/>
      <w:tblCellMar>
        <w:left w:w="70" w:type="dxa"/>
        <w:right w:w="70" w:type="dxa"/>
      </w:tblCellMar>
    </w:tblPr>
  </w:style>
  <w:style w:type="table" w:customStyle="1" w:styleId="a9">
    <w:basedOn w:val="TableNormal3"/>
    <w:rsid w:val="009902F7"/>
    <w:tblPr>
      <w:tblStyleRowBandSize w:val="1"/>
      <w:tblStyleColBandSize w:val="1"/>
      <w:tblCellMar>
        <w:left w:w="70" w:type="dxa"/>
        <w:right w:w="70" w:type="dxa"/>
      </w:tblCellMar>
    </w:tblPr>
  </w:style>
  <w:style w:type="table" w:customStyle="1" w:styleId="aa">
    <w:basedOn w:val="TableNormal3"/>
    <w:rsid w:val="009902F7"/>
    <w:tblPr>
      <w:tblStyleRowBandSize w:val="1"/>
      <w:tblStyleColBandSize w:val="1"/>
      <w:tblCellMar>
        <w:left w:w="70" w:type="dxa"/>
        <w:right w:w="70" w:type="dxa"/>
      </w:tblCellMar>
    </w:tblPr>
  </w:style>
  <w:style w:type="table" w:customStyle="1" w:styleId="ab">
    <w:basedOn w:val="TableNormal3"/>
    <w:rsid w:val="009902F7"/>
    <w:tblPr>
      <w:tblStyleRowBandSize w:val="1"/>
      <w:tblStyleColBandSize w:val="1"/>
      <w:tblCellMar>
        <w:left w:w="70" w:type="dxa"/>
        <w:right w:w="70" w:type="dxa"/>
      </w:tblCellMar>
    </w:tblPr>
  </w:style>
  <w:style w:type="table" w:customStyle="1" w:styleId="ac">
    <w:basedOn w:val="TableNormal3"/>
    <w:rsid w:val="009902F7"/>
    <w:tblPr>
      <w:tblStyleRowBandSize w:val="1"/>
      <w:tblStyleColBandSize w:val="1"/>
      <w:tblCellMar>
        <w:left w:w="70" w:type="dxa"/>
        <w:right w:w="70" w:type="dxa"/>
      </w:tblCellMar>
    </w:tblPr>
  </w:style>
  <w:style w:type="table" w:customStyle="1" w:styleId="ad">
    <w:basedOn w:val="TableNormal3"/>
    <w:rsid w:val="009902F7"/>
    <w:tblPr>
      <w:tblStyleRowBandSize w:val="1"/>
      <w:tblStyleColBandSize w:val="1"/>
      <w:tblCellMar>
        <w:left w:w="70" w:type="dxa"/>
        <w:right w:w="70" w:type="dxa"/>
      </w:tblCellMar>
    </w:tblPr>
  </w:style>
  <w:style w:type="table" w:customStyle="1" w:styleId="ae">
    <w:basedOn w:val="TableNormal3"/>
    <w:rsid w:val="009902F7"/>
    <w:tblPr>
      <w:tblStyleRowBandSize w:val="1"/>
      <w:tblStyleColBandSize w:val="1"/>
      <w:tblCellMar>
        <w:left w:w="70" w:type="dxa"/>
        <w:right w:w="70" w:type="dxa"/>
      </w:tblCellMar>
    </w:tblPr>
  </w:style>
  <w:style w:type="table" w:customStyle="1" w:styleId="af">
    <w:basedOn w:val="TableNormal3"/>
    <w:rsid w:val="009902F7"/>
    <w:tblPr>
      <w:tblStyleRowBandSize w:val="1"/>
      <w:tblStyleColBandSize w:val="1"/>
      <w:tblCellMar>
        <w:left w:w="70" w:type="dxa"/>
        <w:right w:w="70" w:type="dxa"/>
      </w:tblCellMar>
    </w:tblPr>
  </w:style>
  <w:style w:type="table" w:customStyle="1" w:styleId="af0">
    <w:basedOn w:val="TableNormal3"/>
    <w:rsid w:val="009902F7"/>
    <w:tblPr>
      <w:tblStyleRowBandSize w:val="1"/>
      <w:tblStyleColBandSize w:val="1"/>
      <w:tblCellMar>
        <w:left w:w="70" w:type="dxa"/>
        <w:right w:w="70" w:type="dxa"/>
      </w:tblCellMar>
    </w:tblPr>
  </w:style>
  <w:style w:type="table" w:customStyle="1" w:styleId="af1">
    <w:basedOn w:val="TableNormal3"/>
    <w:rsid w:val="009902F7"/>
    <w:tblPr>
      <w:tblStyleRowBandSize w:val="1"/>
      <w:tblStyleColBandSize w:val="1"/>
      <w:tblCellMar>
        <w:left w:w="70" w:type="dxa"/>
        <w:right w:w="70" w:type="dxa"/>
      </w:tblCellMar>
    </w:tblPr>
  </w:style>
  <w:style w:type="table" w:customStyle="1" w:styleId="af2">
    <w:basedOn w:val="TableNormal3"/>
    <w:rsid w:val="009902F7"/>
    <w:tblPr>
      <w:tblStyleRowBandSize w:val="1"/>
      <w:tblStyleColBandSize w:val="1"/>
      <w:tblCellMar>
        <w:left w:w="70" w:type="dxa"/>
        <w:right w:w="70" w:type="dxa"/>
      </w:tblCellMar>
    </w:tblPr>
  </w:style>
  <w:style w:type="table" w:customStyle="1" w:styleId="af3">
    <w:basedOn w:val="TableNormal3"/>
    <w:rsid w:val="009902F7"/>
    <w:tblPr>
      <w:tblStyleRowBandSize w:val="1"/>
      <w:tblStyleColBandSize w:val="1"/>
      <w:tblCellMar>
        <w:left w:w="70" w:type="dxa"/>
        <w:right w:w="70" w:type="dxa"/>
      </w:tblCellMar>
    </w:tblPr>
  </w:style>
  <w:style w:type="table" w:customStyle="1" w:styleId="af4">
    <w:basedOn w:val="TableNormal3"/>
    <w:rsid w:val="009902F7"/>
    <w:tblPr>
      <w:tblStyleRowBandSize w:val="1"/>
      <w:tblStyleColBandSize w:val="1"/>
      <w:tblCellMar>
        <w:left w:w="70" w:type="dxa"/>
        <w:right w:w="70" w:type="dxa"/>
      </w:tblCellMar>
    </w:tblPr>
  </w:style>
  <w:style w:type="table" w:customStyle="1" w:styleId="af5">
    <w:basedOn w:val="TableNormal3"/>
    <w:rsid w:val="009902F7"/>
    <w:tblPr>
      <w:tblStyleRowBandSize w:val="1"/>
      <w:tblStyleColBandSize w:val="1"/>
      <w:tblCellMar>
        <w:left w:w="70" w:type="dxa"/>
        <w:right w:w="70" w:type="dxa"/>
      </w:tblCellMar>
    </w:tblPr>
  </w:style>
  <w:style w:type="table" w:customStyle="1" w:styleId="af6">
    <w:basedOn w:val="TableNormal3"/>
    <w:rsid w:val="009902F7"/>
    <w:tblPr>
      <w:tblStyleRowBandSize w:val="1"/>
      <w:tblStyleColBandSize w:val="1"/>
      <w:tblCellMar>
        <w:left w:w="70" w:type="dxa"/>
        <w:right w:w="70" w:type="dxa"/>
      </w:tblCellMar>
    </w:tblPr>
  </w:style>
  <w:style w:type="table" w:customStyle="1" w:styleId="af7">
    <w:basedOn w:val="TableNormal3"/>
    <w:rsid w:val="009902F7"/>
    <w:tblPr>
      <w:tblStyleRowBandSize w:val="1"/>
      <w:tblStyleColBandSize w:val="1"/>
      <w:tblCellMar>
        <w:left w:w="70" w:type="dxa"/>
        <w:right w:w="70" w:type="dxa"/>
      </w:tblCellMar>
    </w:tblPr>
  </w:style>
  <w:style w:type="table" w:customStyle="1" w:styleId="af8">
    <w:basedOn w:val="TableNormal3"/>
    <w:rsid w:val="009902F7"/>
    <w:tblPr>
      <w:tblStyleRowBandSize w:val="1"/>
      <w:tblStyleColBandSize w:val="1"/>
      <w:tblCellMar>
        <w:left w:w="70" w:type="dxa"/>
        <w:right w:w="70" w:type="dxa"/>
      </w:tblCellMar>
    </w:tblPr>
  </w:style>
  <w:style w:type="table" w:customStyle="1" w:styleId="af9">
    <w:basedOn w:val="TableNormal3"/>
    <w:rsid w:val="009902F7"/>
    <w:tblPr>
      <w:tblStyleRowBandSize w:val="1"/>
      <w:tblStyleColBandSize w:val="1"/>
      <w:tblCellMar>
        <w:left w:w="70" w:type="dxa"/>
        <w:right w:w="70" w:type="dxa"/>
      </w:tblCellMar>
    </w:tblPr>
  </w:style>
  <w:style w:type="table" w:customStyle="1" w:styleId="afa">
    <w:basedOn w:val="TableNormal3"/>
    <w:rsid w:val="009902F7"/>
    <w:tblPr>
      <w:tblStyleRowBandSize w:val="1"/>
      <w:tblStyleColBandSize w:val="1"/>
      <w:tblCellMar>
        <w:left w:w="70" w:type="dxa"/>
        <w:right w:w="70" w:type="dxa"/>
      </w:tblCellMar>
    </w:tblPr>
  </w:style>
  <w:style w:type="table" w:customStyle="1" w:styleId="afb">
    <w:basedOn w:val="TableNormal3"/>
    <w:rsid w:val="009902F7"/>
    <w:tblPr>
      <w:tblStyleRowBandSize w:val="1"/>
      <w:tblStyleColBandSize w:val="1"/>
      <w:tblCellMar>
        <w:left w:w="70" w:type="dxa"/>
        <w:right w:w="70" w:type="dxa"/>
      </w:tblCellMar>
    </w:tblPr>
  </w:style>
  <w:style w:type="table" w:customStyle="1" w:styleId="afc">
    <w:basedOn w:val="TableNormal3"/>
    <w:rsid w:val="009902F7"/>
    <w:tblPr>
      <w:tblStyleRowBandSize w:val="1"/>
      <w:tblStyleColBandSize w:val="1"/>
      <w:tblCellMar>
        <w:left w:w="70" w:type="dxa"/>
        <w:right w:w="70" w:type="dxa"/>
      </w:tblCellMar>
    </w:tblPr>
  </w:style>
  <w:style w:type="table" w:customStyle="1" w:styleId="afd">
    <w:basedOn w:val="TableNormal3"/>
    <w:rsid w:val="009902F7"/>
    <w:tblPr>
      <w:tblStyleRowBandSize w:val="1"/>
      <w:tblStyleColBandSize w:val="1"/>
      <w:tblCellMar>
        <w:left w:w="70" w:type="dxa"/>
        <w:right w:w="70" w:type="dxa"/>
      </w:tblCellMar>
    </w:tblPr>
  </w:style>
  <w:style w:type="table" w:customStyle="1" w:styleId="afe">
    <w:basedOn w:val="TableNormal3"/>
    <w:rsid w:val="009902F7"/>
    <w:tblPr>
      <w:tblStyleRowBandSize w:val="1"/>
      <w:tblStyleColBandSize w:val="1"/>
      <w:tblCellMar>
        <w:left w:w="70" w:type="dxa"/>
        <w:right w:w="70" w:type="dxa"/>
      </w:tblCellMar>
    </w:tblPr>
  </w:style>
  <w:style w:type="table" w:customStyle="1" w:styleId="aff">
    <w:basedOn w:val="TableNormal3"/>
    <w:rsid w:val="009902F7"/>
    <w:tblPr>
      <w:tblStyleRowBandSize w:val="1"/>
      <w:tblStyleColBandSize w:val="1"/>
      <w:tblCellMar>
        <w:left w:w="70" w:type="dxa"/>
        <w:right w:w="70" w:type="dxa"/>
      </w:tblCellMar>
    </w:tblPr>
  </w:style>
  <w:style w:type="table" w:customStyle="1" w:styleId="aff0">
    <w:basedOn w:val="TableNormal3"/>
    <w:rsid w:val="009902F7"/>
    <w:tblPr>
      <w:tblStyleRowBandSize w:val="1"/>
      <w:tblStyleColBandSize w:val="1"/>
      <w:tblCellMar>
        <w:left w:w="70" w:type="dxa"/>
        <w:right w:w="70" w:type="dxa"/>
      </w:tblCellMar>
    </w:tblPr>
  </w:style>
  <w:style w:type="table" w:customStyle="1" w:styleId="aff1">
    <w:basedOn w:val="TableNormal3"/>
    <w:rsid w:val="009902F7"/>
    <w:tblPr>
      <w:tblStyleRowBandSize w:val="1"/>
      <w:tblStyleColBandSize w:val="1"/>
      <w:tblCellMar>
        <w:top w:w="100" w:type="dxa"/>
        <w:left w:w="100" w:type="dxa"/>
        <w:bottom w:w="100" w:type="dxa"/>
        <w:right w:w="100" w:type="dxa"/>
      </w:tblCellMar>
    </w:tblPr>
  </w:style>
  <w:style w:type="table" w:customStyle="1" w:styleId="aff2">
    <w:basedOn w:val="TableNormal3"/>
    <w:rsid w:val="009902F7"/>
    <w:tblPr>
      <w:tblStyleRowBandSize w:val="1"/>
      <w:tblStyleColBandSize w:val="1"/>
      <w:tblCellMar>
        <w:left w:w="70" w:type="dxa"/>
        <w:right w:w="70" w:type="dxa"/>
      </w:tblCellMar>
    </w:tblPr>
  </w:style>
  <w:style w:type="table" w:customStyle="1" w:styleId="aff3">
    <w:basedOn w:val="TableNormal3"/>
    <w:rsid w:val="009902F7"/>
    <w:tblPr>
      <w:tblStyleRowBandSize w:val="1"/>
      <w:tblStyleColBandSize w:val="1"/>
      <w:tblCellMar>
        <w:top w:w="100" w:type="dxa"/>
        <w:left w:w="100" w:type="dxa"/>
        <w:bottom w:w="100" w:type="dxa"/>
        <w:right w:w="100" w:type="dxa"/>
      </w:tblCellMar>
    </w:tblPr>
  </w:style>
  <w:style w:type="table" w:customStyle="1" w:styleId="aff4">
    <w:basedOn w:val="TableNormal3"/>
    <w:rsid w:val="009902F7"/>
    <w:tblPr>
      <w:tblStyleRowBandSize w:val="1"/>
      <w:tblStyleColBandSize w:val="1"/>
      <w:tblCellMar>
        <w:left w:w="70" w:type="dxa"/>
        <w:right w:w="70" w:type="dxa"/>
      </w:tblCellMar>
    </w:tblPr>
  </w:style>
  <w:style w:type="table" w:customStyle="1" w:styleId="aff5">
    <w:basedOn w:val="TableNormal3"/>
    <w:rsid w:val="009902F7"/>
    <w:tblPr>
      <w:tblStyleRowBandSize w:val="1"/>
      <w:tblStyleColBandSize w:val="1"/>
      <w:tblCellMar>
        <w:top w:w="100" w:type="dxa"/>
        <w:left w:w="100" w:type="dxa"/>
        <w:bottom w:w="100" w:type="dxa"/>
        <w:right w:w="100" w:type="dxa"/>
      </w:tblCellMar>
    </w:tblPr>
  </w:style>
  <w:style w:type="table" w:customStyle="1" w:styleId="aff6">
    <w:basedOn w:val="TableNormal3"/>
    <w:rsid w:val="009902F7"/>
    <w:tblPr>
      <w:tblStyleRowBandSize w:val="1"/>
      <w:tblStyleColBandSize w:val="1"/>
      <w:tblCellMar>
        <w:left w:w="70" w:type="dxa"/>
        <w:right w:w="70" w:type="dxa"/>
      </w:tblCellMar>
    </w:tblPr>
  </w:style>
  <w:style w:type="table" w:customStyle="1" w:styleId="aff7">
    <w:basedOn w:val="TableNormal3"/>
    <w:rsid w:val="009902F7"/>
    <w:tblPr>
      <w:tblStyleRowBandSize w:val="1"/>
      <w:tblStyleColBandSize w:val="1"/>
      <w:tblCellMar>
        <w:left w:w="70" w:type="dxa"/>
        <w:right w:w="70" w:type="dxa"/>
      </w:tblCellMar>
    </w:tblPr>
  </w:style>
  <w:style w:type="table" w:customStyle="1" w:styleId="aff8">
    <w:basedOn w:val="TableNormal3"/>
    <w:rsid w:val="009902F7"/>
    <w:tblPr>
      <w:tblStyleRowBandSize w:val="1"/>
      <w:tblStyleColBandSize w:val="1"/>
      <w:tblCellMar>
        <w:left w:w="70" w:type="dxa"/>
        <w:right w:w="70" w:type="dxa"/>
      </w:tblCellMar>
    </w:tblPr>
  </w:style>
  <w:style w:type="table" w:customStyle="1" w:styleId="aff9">
    <w:basedOn w:val="TableNormal3"/>
    <w:rsid w:val="009902F7"/>
    <w:tblPr>
      <w:tblStyleRowBandSize w:val="1"/>
      <w:tblStyleColBandSize w:val="1"/>
      <w:tblCellMar>
        <w:top w:w="100" w:type="dxa"/>
        <w:left w:w="100" w:type="dxa"/>
        <w:bottom w:w="100" w:type="dxa"/>
        <w:right w:w="100" w:type="dxa"/>
      </w:tblCellMar>
    </w:tblPr>
  </w:style>
  <w:style w:type="table" w:customStyle="1" w:styleId="affa">
    <w:basedOn w:val="TableNormal3"/>
    <w:rsid w:val="009902F7"/>
    <w:tblPr>
      <w:tblStyleRowBandSize w:val="1"/>
      <w:tblStyleColBandSize w:val="1"/>
      <w:tblCellMar>
        <w:left w:w="70" w:type="dxa"/>
        <w:right w:w="70" w:type="dxa"/>
      </w:tblCellMar>
    </w:tblPr>
  </w:style>
  <w:style w:type="table" w:customStyle="1" w:styleId="affb">
    <w:basedOn w:val="TableNormal3"/>
    <w:rsid w:val="009902F7"/>
    <w:tblPr>
      <w:tblStyleRowBandSize w:val="1"/>
      <w:tblStyleColBandSize w:val="1"/>
      <w:tblCellMar>
        <w:left w:w="70" w:type="dxa"/>
        <w:right w:w="70" w:type="dxa"/>
      </w:tblCellMar>
    </w:tblPr>
  </w:style>
  <w:style w:type="table" w:customStyle="1" w:styleId="affc">
    <w:basedOn w:val="TableNormal3"/>
    <w:rsid w:val="009902F7"/>
    <w:tblPr>
      <w:tblStyleRowBandSize w:val="1"/>
      <w:tblStyleColBandSize w:val="1"/>
      <w:tblCellMar>
        <w:left w:w="70" w:type="dxa"/>
        <w:right w:w="70" w:type="dxa"/>
      </w:tblCellMar>
    </w:tblPr>
  </w:style>
  <w:style w:type="table" w:customStyle="1" w:styleId="affd">
    <w:basedOn w:val="TableNormal3"/>
    <w:rsid w:val="009902F7"/>
    <w:tblPr>
      <w:tblStyleRowBandSize w:val="1"/>
      <w:tblStyleColBandSize w:val="1"/>
      <w:tblCellMar>
        <w:left w:w="70" w:type="dxa"/>
        <w:right w:w="70" w:type="dxa"/>
      </w:tblCellMar>
    </w:tblPr>
  </w:style>
  <w:style w:type="table" w:customStyle="1" w:styleId="affe">
    <w:basedOn w:val="TableNormal3"/>
    <w:rsid w:val="009902F7"/>
    <w:tblPr>
      <w:tblStyleRowBandSize w:val="1"/>
      <w:tblStyleColBandSize w:val="1"/>
      <w:tblCellMar>
        <w:left w:w="70" w:type="dxa"/>
        <w:right w:w="70" w:type="dxa"/>
      </w:tblCellMar>
    </w:tblPr>
  </w:style>
  <w:style w:type="table" w:customStyle="1" w:styleId="afff">
    <w:basedOn w:val="TableNormal3"/>
    <w:rsid w:val="009902F7"/>
    <w:tblPr>
      <w:tblStyleRowBandSize w:val="1"/>
      <w:tblStyleColBandSize w:val="1"/>
      <w:tblCellMar>
        <w:left w:w="70" w:type="dxa"/>
        <w:right w:w="70" w:type="dxa"/>
      </w:tblCellMar>
    </w:tblPr>
  </w:style>
  <w:style w:type="table" w:customStyle="1" w:styleId="afff0">
    <w:basedOn w:val="TableNormal2"/>
    <w:rsid w:val="009902F7"/>
    <w:tblPr>
      <w:tblStyleRowBandSize w:val="1"/>
      <w:tblStyleColBandSize w:val="1"/>
      <w:tblCellMar>
        <w:left w:w="70" w:type="dxa"/>
        <w:right w:w="70" w:type="dxa"/>
      </w:tblCellMar>
    </w:tblPr>
  </w:style>
  <w:style w:type="table" w:customStyle="1" w:styleId="afff1">
    <w:basedOn w:val="TableNormal2"/>
    <w:rsid w:val="009902F7"/>
    <w:tblPr>
      <w:tblStyleRowBandSize w:val="1"/>
      <w:tblStyleColBandSize w:val="1"/>
      <w:tblCellMar>
        <w:left w:w="70" w:type="dxa"/>
        <w:right w:w="70" w:type="dxa"/>
      </w:tblCellMar>
    </w:tblPr>
  </w:style>
  <w:style w:type="table" w:customStyle="1" w:styleId="afff2">
    <w:basedOn w:val="TableNormal2"/>
    <w:rsid w:val="009902F7"/>
    <w:tblPr>
      <w:tblStyleRowBandSize w:val="1"/>
      <w:tblStyleColBandSize w:val="1"/>
      <w:tblCellMar>
        <w:left w:w="70" w:type="dxa"/>
        <w:right w:w="70" w:type="dxa"/>
      </w:tblCellMar>
    </w:tblPr>
  </w:style>
  <w:style w:type="table" w:customStyle="1" w:styleId="afff3">
    <w:basedOn w:val="TableNormal2"/>
    <w:rsid w:val="009902F7"/>
    <w:tblPr>
      <w:tblStyleRowBandSize w:val="1"/>
      <w:tblStyleColBandSize w:val="1"/>
      <w:tblCellMar>
        <w:left w:w="70" w:type="dxa"/>
        <w:right w:w="70" w:type="dxa"/>
      </w:tblCellMar>
    </w:tblPr>
  </w:style>
  <w:style w:type="table" w:customStyle="1" w:styleId="afff4">
    <w:basedOn w:val="TableNormal2"/>
    <w:rsid w:val="009902F7"/>
    <w:tblPr>
      <w:tblStyleRowBandSize w:val="1"/>
      <w:tblStyleColBandSize w:val="1"/>
      <w:tblCellMar>
        <w:left w:w="70" w:type="dxa"/>
        <w:right w:w="70" w:type="dxa"/>
      </w:tblCellMar>
    </w:tblPr>
  </w:style>
  <w:style w:type="table" w:customStyle="1" w:styleId="afff5">
    <w:basedOn w:val="TableNormal2"/>
    <w:rsid w:val="009902F7"/>
    <w:tblPr>
      <w:tblStyleRowBandSize w:val="1"/>
      <w:tblStyleColBandSize w:val="1"/>
      <w:tblCellMar>
        <w:left w:w="70" w:type="dxa"/>
        <w:right w:w="70" w:type="dxa"/>
      </w:tblCellMar>
    </w:tblPr>
  </w:style>
  <w:style w:type="table" w:customStyle="1" w:styleId="afff6">
    <w:basedOn w:val="TableNormal2"/>
    <w:rsid w:val="009902F7"/>
    <w:tblPr>
      <w:tblStyleRowBandSize w:val="1"/>
      <w:tblStyleColBandSize w:val="1"/>
      <w:tblCellMar>
        <w:top w:w="100" w:type="dxa"/>
        <w:left w:w="100" w:type="dxa"/>
        <w:bottom w:w="100" w:type="dxa"/>
        <w:right w:w="100" w:type="dxa"/>
      </w:tblCellMar>
    </w:tblPr>
  </w:style>
  <w:style w:type="table" w:customStyle="1" w:styleId="afff7">
    <w:basedOn w:val="TableNormal2"/>
    <w:rsid w:val="009902F7"/>
    <w:tblPr>
      <w:tblStyleRowBandSize w:val="1"/>
      <w:tblStyleColBandSize w:val="1"/>
      <w:tblCellMar>
        <w:left w:w="70" w:type="dxa"/>
        <w:right w:w="70" w:type="dxa"/>
      </w:tblCellMar>
    </w:tblPr>
  </w:style>
  <w:style w:type="table" w:customStyle="1" w:styleId="afff8">
    <w:basedOn w:val="TableNormal2"/>
    <w:rsid w:val="009902F7"/>
    <w:tblPr>
      <w:tblStyleRowBandSize w:val="1"/>
      <w:tblStyleColBandSize w:val="1"/>
      <w:tblCellMar>
        <w:left w:w="70" w:type="dxa"/>
        <w:right w:w="70" w:type="dxa"/>
      </w:tblCellMar>
    </w:tblPr>
  </w:style>
  <w:style w:type="table" w:customStyle="1" w:styleId="afff9">
    <w:basedOn w:val="TableNormal2"/>
    <w:rsid w:val="009902F7"/>
    <w:tblPr>
      <w:tblStyleRowBandSize w:val="1"/>
      <w:tblStyleColBandSize w:val="1"/>
      <w:tblCellMar>
        <w:top w:w="100" w:type="dxa"/>
        <w:left w:w="100" w:type="dxa"/>
        <w:bottom w:w="100" w:type="dxa"/>
        <w:right w:w="100" w:type="dxa"/>
      </w:tblCellMar>
    </w:tblPr>
  </w:style>
  <w:style w:type="table" w:customStyle="1" w:styleId="afffa">
    <w:basedOn w:val="TableNormal2"/>
    <w:rsid w:val="009902F7"/>
    <w:tblPr>
      <w:tblStyleRowBandSize w:val="1"/>
      <w:tblStyleColBandSize w:val="1"/>
      <w:tblCellMar>
        <w:left w:w="70" w:type="dxa"/>
        <w:right w:w="70" w:type="dxa"/>
      </w:tblCellMar>
    </w:tblPr>
  </w:style>
  <w:style w:type="table" w:customStyle="1" w:styleId="afffb">
    <w:basedOn w:val="TableNormal2"/>
    <w:rsid w:val="009902F7"/>
    <w:tblPr>
      <w:tblStyleRowBandSize w:val="1"/>
      <w:tblStyleColBandSize w:val="1"/>
      <w:tblCellMar>
        <w:left w:w="70" w:type="dxa"/>
        <w:right w:w="70" w:type="dxa"/>
      </w:tblCellMar>
    </w:tblPr>
  </w:style>
  <w:style w:type="table" w:customStyle="1" w:styleId="afffc">
    <w:basedOn w:val="TableNormal2"/>
    <w:rsid w:val="009902F7"/>
    <w:tblPr>
      <w:tblStyleRowBandSize w:val="1"/>
      <w:tblStyleColBandSize w:val="1"/>
      <w:tblCellMar>
        <w:left w:w="70" w:type="dxa"/>
        <w:right w:w="70" w:type="dxa"/>
      </w:tblCellMar>
    </w:tblPr>
  </w:style>
  <w:style w:type="table" w:customStyle="1" w:styleId="afffd">
    <w:basedOn w:val="TableNormal2"/>
    <w:rsid w:val="009902F7"/>
    <w:tblPr>
      <w:tblStyleRowBandSize w:val="1"/>
      <w:tblStyleColBandSize w:val="1"/>
      <w:tblCellMar>
        <w:left w:w="70" w:type="dxa"/>
        <w:right w:w="70" w:type="dxa"/>
      </w:tblCellMar>
    </w:tblPr>
  </w:style>
  <w:style w:type="table" w:customStyle="1" w:styleId="afffe">
    <w:basedOn w:val="TableNormal2"/>
    <w:rsid w:val="009902F7"/>
    <w:tblPr>
      <w:tblStyleRowBandSize w:val="1"/>
      <w:tblStyleColBandSize w:val="1"/>
      <w:tblCellMar>
        <w:left w:w="70" w:type="dxa"/>
        <w:right w:w="70" w:type="dxa"/>
      </w:tblCellMar>
    </w:tblPr>
  </w:style>
  <w:style w:type="table" w:customStyle="1" w:styleId="affff">
    <w:basedOn w:val="TableNormal2"/>
    <w:rsid w:val="009902F7"/>
    <w:tblPr>
      <w:tblStyleRowBandSize w:val="1"/>
      <w:tblStyleColBandSize w:val="1"/>
      <w:tblCellMar>
        <w:left w:w="70" w:type="dxa"/>
        <w:right w:w="70" w:type="dxa"/>
      </w:tblCellMar>
    </w:tblPr>
  </w:style>
  <w:style w:type="table" w:customStyle="1" w:styleId="affff0">
    <w:basedOn w:val="TableNormal2"/>
    <w:rsid w:val="009902F7"/>
    <w:tblPr>
      <w:tblStyleRowBandSize w:val="1"/>
      <w:tblStyleColBandSize w:val="1"/>
      <w:tblCellMar>
        <w:left w:w="70" w:type="dxa"/>
        <w:right w:w="70" w:type="dxa"/>
      </w:tblCellMar>
    </w:tblPr>
  </w:style>
  <w:style w:type="table" w:customStyle="1" w:styleId="affff1">
    <w:basedOn w:val="TableNormal2"/>
    <w:rsid w:val="009902F7"/>
    <w:tblPr>
      <w:tblStyleRowBandSize w:val="1"/>
      <w:tblStyleColBandSize w:val="1"/>
      <w:tblCellMar>
        <w:left w:w="70" w:type="dxa"/>
        <w:right w:w="70" w:type="dxa"/>
      </w:tblCellMar>
    </w:tblPr>
  </w:style>
  <w:style w:type="table" w:customStyle="1" w:styleId="affff2">
    <w:basedOn w:val="TableNormal2"/>
    <w:rsid w:val="009902F7"/>
    <w:tblPr>
      <w:tblStyleRowBandSize w:val="1"/>
      <w:tblStyleColBandSize w:val="1"/>
      <w:tblCellMar>
        <w:left w:w="70" w:type="dxa"/>
        <w:right w:w="70" w:type="dxa"/>
      </w:tblCellMar>
    </w:tblPr>
  </w:style>
  <w:style w:type="table" w:customStyle="1" w:styleId="affff3">
    <w:basedOn w:val="TableNormal2"/>
    <w:rsid w:val="009902F7"/>
    <w:tblPr>
      <w:tblStyleRowBandSize w:val="1"/>
      <w:tblStyleColBandSize w:val="1"/>
      <w:tblCellMar>
        <w:left w:w="70" w:type="dxa"/>
        <w:right w:w="70" w:type="dxa"/>
      </w:tblCellMar>
    </w:tblPr>
  </w:style>
  <w:style w:type="table" w:customStyle="1" w:styleId="affff4">
    <w:basedOn w:val="TableNormal2"/>
    <w:rsid w:val="009902F7"/>
    <w:tblPr>
      <w:tblStyleRowBandSize w:val="1"/>
      <w:tblStyleColBandSize w:val="1"/>
      <w:tblCellMar>
        <w:left w:w="70" w:type="dxa"/>
        <w:right w:w="70" w:type="dxa"/>
      </w:tblCellMar>
    </w:tblPr>
  </w:style>
  <w:style w:type="table" w:customStyle="1" w:styleId="affff5">
    <w:basedOn w:val="TableNormal2"/>
    <w:rsid w:val="009902F7"/>
    <w:tblPr>
      <w:tblStyleRowBandSize w:val="1"/>
      <w:tblStyleColBandSize w:val="1"/>
      <w:tblCellMar>
        <w:left w:w="70" w:type="dxa"/>
        <w:right w:w="70" w:type="dxa"/>
      </w:tblCellMar>
    </w:tblPr>
  </w:style>
  <w:style w:type="table" w:customStyle="1" w:styleId="affff6">
    <w:basedOn w:val="TableNormal2"/>
    <w:rsid w:val="009902F7"/>
    <w:tblPr>
      <w:tblStyleRowBandSize w:val="1"/>
      <w:tblStyleColBandSize w:val="1"/>
      <w:tblCellMar>
        <w:left w:w="70" w:type="dxa"/>
        <w:right w:w="70" w:type="dxa"/>
      </w:tblCellMar>
    </w:tblPr>
  </w:style>
  <w:style w:type="table" w:customStyle="1" w:styleId="affff7">
    <w:basedOn w:val="TableNormal2"/>
    <w:rsid w:val="009902F7"/>
    <w:tblPr>
      <w:tblStyleRowBandSize w:val="1"/>
      <w:tblStyleColBandSize w:val="1"/>
      <w:tblCellMar>
        <w:left w:w="70" w:type="dxa"/>
        <w:right w:w="70" w:type="dxa"/>
      </w:tblCellMar>
    </w:tblPr>
  </w:style>
  <w:style w:type="table" w:customStyle="1" w:styleId="affff8">
    <w:basedOn w:val="TableNormal2"/>
    <w:rsid w:val="009902F7"/>
    <w:tblPr>
      <w:tblStyleRowBandSize w:val="1"/>
      <w:tblStyleColBandSize w:val="1"/>
      <w:tblCellMar>
        <w:left w:w="70" w:type="dxa"/>
        <w:right w:w="70" w:type="dxa"/>
      </w:tblCellMar>
    </w:tblPr>
  </w:style>
  <w:style w:type="table" w:customStyle="1" w:styleId="affff9">
    <w:basedOn w:val="TableNormal2"/>
    <w:rsid w:val="009902F7"/>
    <w:tblPr>
      <w:tblStyleRowBandSize w:val="1"/>
      <w:tblStyleColBandSize w:val="1"/>
      <w:tblCellMar>
        <w:left w:w="70" w:type="dxa"/>
        <w:right w:w="70" w:type="dxa"/>
      </w:tblCellMar>
    </w:tblPr>
  </w:style>
  <w:style w:type="table" w:customStyle="1" w:styleId="affffa">
    <w:basedOn w:val="TableNormal2"/>
    <w:rsid w:val="009902F7"/>
    <w:tblPr>
      <w:tblStyleRowBandSize w:val="1"/>
      <w:tblStyleColBandSize w:val="1"/>
      <w:tblCellMar>
        <w:top w:w="100" w:type="dxa"/>
        <w:left w:w="100" w:type="dxa"/>
        <w:bottom w:w="100" w:type="dxa"/>
        <w:right w:w="100" w:type="dxa"/>
      </w:tblCellMar>
    </w:tblPr>
  </w:style>
  <w:style w:type="table" w:customStyle="1" w:styleId="affffb">
    <w:basedOn w:val="TableNormal2"/>
    <w:rsid w:val="009902F7"/>
    <w:tblPr>
      <w:tblStyleRowBandSize w:val="1"/>
      <w:tblStyleColBandSize w:val="1"/>
      <w:tblCellMar>
        <w:left w:w="70" w:type="dxa"/>
        <w:right w:w="70" w:type="dxa"/>
      </w:tblCellMar>
    </w:tblPr>
  </w:style>
  <w:style w:type="paragraph" w:styleId="TDC1">
    <w:name w:val="toc 1"/>
    <w:basedOn w:val="Normal"/>
    <w:next w:val="Normal"/>
    <w:autoRedefine/>
    <w:uiPriority w:val="39"/>
    <w:unhideWhenUsed/>
    <w:rsid w:val="00B73272"/>
    <w:pPr>
      <w:spacing w:after="100"/>
      <w:ind w:left="0"/>
    </w:pPr>
  </w:style>
  <w:style w:type="paragraph" w:styleId="TDC2">
    <w:name w:val="toc 2"/>
    <w:basedOn w:val="Normal"/>
    <w:next w:val="Normal"/>
    <w:autoRedefine/>
    <w:uiPriority w:val="39"/>
    <w:unhideWhenUsed/>
    <w:rsid w:val="00B73272"/>
    <w:pPr>
      <w:spacing w:after="100"/>
      <w:ind w:left="240"/>
    </w:pPr>
  </w:style>
  <w:style w:type="paragraph" w:styleId="TDC3">
    <w:name w:val="toc 3"/>
    <w:basedOn w:val="Normal"/>
    <w:next w:val="Normal"/>
    <w:autoRedefine/>
    <w:uiPriority w:val="39"/>
    <w:unhideWhenUsed/>
    <w:rsid w:val="00B73272"/>
    <w:pPr>
      <w:suppressAutoHyphens w:val="0"/>
      <w:spacing w:after="100" w:line="276"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4">
    <w:name w:val="toc 4"/>
    <w:basedOn w:val="Normal"/>
    <w:next w:val="Normal"/>
    <w:autoRedefine/>
    <w:uiPriority w:val="39"/>
    <w:unhideWhenUsed/>
    <w:rsid w:val="00B73272"/>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5">
    <w:name w:val="toc 5"/>
    <w:basedOn w:val="Normal"/>
    <w:next w:val="Normal"/>
    <w:autoRedefine/>
    <w:uiPriority w:val="39"/>
    <w:unhideWhenUsed/>
    <w:rsid w:val="00B73272"/>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6">
    <w:name w:val="toc 6"/>
    <w:basedOn w:val="Normal"/>
    <w:next w:val="Normal"/>
    <w:autoRedefine/>
    <w:uiPriority w:val="39"/>
    <w:unhideWhenUsed/>
    <w:rsid w:val="00B73272"/>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7">
    <w:name w:val="toc 7"/>
    <w:basedOn w:val="Normal"/>
    <w:next w:val="Normal"/>
    <w:autoRedefine/>
    <w:uiPriority w:val="39"/>
    <w:unhideWhenUsed/>
    <w:rsid w:val="00B73272"/>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8">
    <w:name w:val="toc 8"/>
    <w:basedOn w:val="Normal"/>
    <w:next w:val="Normal"/>
    <w:autoRedefine/>
    <w:uiPriority w:val="39"/>
    <w:unhideWhenUsed/>
    <w:rsid w:val="00B73272"/>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9">
    <w:name w:val="toc 9"/>
    <w:basedOn w:val="Normal"/>
    <w:next w:val="Normal"/>
    <w:autoRedefine/>
    <w:uiPriority w:val="39"/>
    <w:unhideWhenUsed/>
    <w:rsid w:val="00B73272"/>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Hipervnculo">
    <w:name w:val="Hyperlink"/>
    <w:basedOn w:val="Fuentedeprrafopredeter"/>
    <w:uiPriority w:val="99"/>
    <w:unhideWhenUsed/>
    <w:rsid w:val="00B73272"/>
    <w:rPr>
      <w:color w:val="0000FF" w:themeColor="hyperlink"/>
      <w:u w:val="single"/>
    </w:rPr>
  </w:style>
  <w:style w:type="paragraph" w:styleId="NormalWeb">
    <w:name w:val="Normal (Web)"/>
    <w:basedOn w:val="Normal"/>
    <w:uiPriority w:val="99"/>
    <w:semiHidden/>
    <w:unhideWhenUsed/>
    <w:rsid w:val="00E00771"/>
    <w:rPr>
      <w:rFonts w:ascii="Times New Roman" w:hAnsi="Times New Roman" w:cs="Times New Roman"/>
    </w:rPr>
  </w:style>
  <w:style w:type="character" w:styleId="Hipervnculovisitado">
    <w:name w:val="FollowedHyperlink"/>
    <w:basedOn w:val="Fuentedeprrafopredeter"/>
    <w:uiPriority w:val="99"/>
    <w:semiHidden/>
    <w:unhideWhenUsed/>
    <w:rsid w:val="001E54DA"/>
    <w:rPr>
      <w:color w:val="800080" w:themeColor="followedHyperlink"/>
      <w:u w:val="single"/>
    </w:rPr>
  </w:style>
  <w:style w:type="table" w:customStyle="1" w:styleId="affffc">
    <w:basedOn w:val="TableNormal1"/>
    <w:tblPr>
      <w:tblStyleRowBandSize w:val="1"/>
      <w:tblStyleColBandSize w:val="1"/>
      <w:tblCellMar>
        <w:left w:w="70" w:type="dxa"/>
        <w:right w:w="70" w:type="dxa"/>
      </w:tblCellMar>
    </w:tblPr>
  </w:style>
  <w:style w:type="table" w:customStyle="1" w:styleId="affffd">
    <w:basedOn w:val="TableNormal1"/>
    <w:tblPr>
      <w:tblStyleRowBandSize w:val="1"/>
      <w:tblStyleColBandSize w:val="1"/>
      <w:tblCellMar>
        <w:left w:w="70" w:type="dxa"/>
        <w:right w:w="70" w:type="dxa"/>
      </w:tblCellMar>
    </w:tblPr>
  </w:style>
  <w:style w:type="table" w:customStyle="1" w:styleId="affffe">
    <w:basedOn w:val="TableNormal1"/>
    <w:tblPr>
      <w:tblStyleRowBandSize w:val="1"/>
      <w:tblStyleColBandSize w:val="1"/>
      <w:tblCellMar>
        <w:left w:w="70" w:type="dxa"/>
        <w:right w:w="70" w:type="dxa"/>
      </w:tblCellMar>
    </w:tblPr>
  </w:style>
  <w:style w:type="table" w:customStyle="1" w:styleId="afffff">
    <w:basedOn w:val="TableNormal1"/>
    <w:tblPr>
      <w:tblStyleRowBandSize w:val="1"/>
      <w:tblStyleColBandSize w:val="1"/>
      <w:tblCellMar>
        <w:left w:w="70" w:type="dxa"/>
        <w:right w:w="70" w:type="dxa"/>
      </w:tblCellMar>
    </w:tblPr>
  </w:style>
  <w:style w:type="table" w:customStyle="1" w:styleId="afffff0">
    <w:basedOn w:val="TableNormal1"/>
    <w:tblPr>
      <w:tblStyleRowBandSize w:val="1"/>
      <w:tblStyleColBandSize w:val="1"/>
      <w:tblCellMar>
        <w:left w:w="70" w:type="dxa"/>
        <w:right w:w="70" w:type="dxa"/>
      </w:tblCellMar>
    </w:tblPr>
  </w:style>
  <w:style w:type="table" w:customStyle="1" w:styleId="afffff1">
    <w:basedOn w:val="TableNormal1"/>
    <w:tblPr>
      <w:tblStyleRowBandSize w:val="1"/>
      <w:tblStyleColBandSize w:val="1"/>
      <w:tblCellMar>
        <w:left w:w="70" w:type="dxa"/>
        <w:right w:w="70" w:type="dxa"/>
      </w:tblCellMar>
    </w:tblPr>
  </w:style>
  <w:style w:type="table" w:customStyle="1" w:styleId="afffff2">
    <w:basedOn w:val="TableNormal1"/>
    <w:tblPr>
      <w:tblStyleRowBandSize w:val="1"/>
      <w:tblStyleColBandSize w:val="1"/>
      <w:tblCellMar>
        <w:left w:w="70" w:type="dxa"/>
        <w:right w:w="70" w:type="dxa"/>
      </w:tblCellMar>
    </w:tblPr>
  </w:style>
  <w:style w:type="table" w:customStyle="1" w:styleId="afffff3">
    <w:basedOn w:val="TableNormal1"/>
    <w:tblPr>
      <w:tblStyleRowBandSize w:val="1"/>
      <w:tblStyleColBandSize w:val="1"/>
      <w:tblCellMar>
        <w:left w:w="70" w:type="dxa"/>
        <w:right w:w="70" w:type="dxa"/>
      </w:tblCellMar>
    </w:tblPr>
  </w:style>
  <w:style w:type="table" w:customStyle="1" w:styleId="afffff4">
    <w:basedOn w:val="TableNormal1"/>
    <w:tblPr>
      <w:tblStyleRowBandSize w:val="1"/>
      <w:tblStyleColBandSize w:val="1"/>
      <w:tblCellMar>
        <w:left w:w="70" w:type="dxa"/>
        <w:right w:w="70" w:type="dxa"/>
      </w:tblCellMar>
    </w:tblPr>
  </w:style>
  <w:style w:type="table" w:customStyle="1" w:styleId="afffff5">
    <w:basedOn w:val="TableNormal1"/>
    <w:tblPr>
      <w:tblStyleRowBandSize w:val="1"/>
      <w:tblStyleColBandSize w:val="1"/>
      <w:tblCellMar>
        <w:left w:w="70" w:type="dxa"/>
        <w:right w:w="70" w:type="dxa"/>
      </w:tblCellMar>
    </w:tblPr>
  </w:style>
  <w:style w:type="table" w:customStyle="1" w:styleId="afffff6">
    <w:basedOn w:val="TableNormal1"/>
    <w:tblPr>
      <w:tblStyleRowBandSize w:val="1"/>
      <w:tblStyleColBandSize w:val="1"/>
      <w:tblCellMar>
        <w:left w:w="70" w:type="dxa"/>
        <w:right w:w="70" w:type="dxa"/>
      </w:tblCellMar>
    </w:tblPr>
  </w:style>
  <w:style w:type="table" w:customStyle="1" w:styleId="afffff7">
    <w:basedOn w:val="TableNormal1"/>
    <w:tblPr>
      <w:tblStyleRowBandSize w:val="1"/>
      <w:tblStyleColBandSize w:val="1"/>
      <w:tblCellMar>
        <w:left w:w="70" w:type="dxa"/>
        <w:right w:w="70" w:type="dxa"/>
      </w:tblCellMar>
    </w:tblPr>
  </w:style>
  <w:style w:type="table" w:customStyle="1" w:styleId="afffff8">
    <w:basedOn w:val="TableNormal1"/>
    <w:tblPr>
      <w:tblStyleRowBandSize w:val="1"/>
      <w:tblStyleColBandSize w:val="1"/>
      <w:tblCellMar>
        <w:left w:w="70" w:type="dxa"/>
        <w:right w:w="70" w:type="dxa"/>
      </w:tblCellMar>
    </w:tblPr>
  </w:style>
  <w:style w:type="table" w:customStyle="1" w:styleId="afffff9">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m03dlWlAhADo37_MRs64vvxXKWc7JZTa/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EIE5XpCvhxg2mY7Cb8DEE9eA==">CgMxLjAyDmguaTh0Zno4OG45a3RlMg5oLnFiYmpzMmVyZjIyYzIOaC4xNjdmOGZxbTliMXAyDmgudmp5NmkxbzljZGEwOAByITFjcmQwZjFpc3I0V1NlV21XcFNfQlFCc0VjOWNCcjliZw==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3019</Words>
  <Characters>16607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Juan de Aréjula</dc:creator>
  <cp:lastModifiedBy>Arcángel Bedmar González</cp:lastModifiedBy>
  <cp:revision>2</cp:revision>
  <dcterms:created xsi:type="dcterms:W3CDTF">2022-11-21T14:09:00Z</dcterms:created>
  <dcterms:modified xsi:type="dcterms:W3CDTF">2023-12-05T09:20:00Z</dcterms:modified>
</cp:coreProperties>
</file>